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2314" w14:textId="77777777" w:rsidR="007E0D1F" w:rsidRDefault="007E0D1F" w:rsidP="007E0D1F">
      <w:pPr>
        <w:jc w:val="center"/>
      </w:pPr>
    </w:p>
    <w:p w14:paraId="39727DF9" w14:textId="77777777" w:rsidR="007E0D1F" w:rsidRDefault="007E0D1F" w:rsidP="007E0D1F">
      <w:pPr>
        <w:jc w:val="center"/>
      </w:pPr>
    </w:p>
    <w:p w14:paraId="78578CC6" w14:textId="77777777" w:rsidR="00D757B5" w:rsidRDefault="007E0D1F" w:rsidP="007E0D1F">
      <w:pPr>
        <w:jc w:val="center"/>
      </w:pPr>
      <w:r w:rsidRPr="007E0D1F">
        <w:rPr>
          <w:noProof/>
          <w:lang w:eastAsia="es-CO"/>
        </w:rPr>
        <w:drawing>
          <wp:inline distT="0" distB="0" distL="0" distR="0" wp14:anchorId="6EC308CE" wp14:editId="4B35B162">
            <wp:extent cx="2391160" cy="4209862"/>
            <wp:effectExtent l="0" t="0" r="952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4402" cy="4215569"/>
                    </a:xfrm>
                    <a:prstGeom prst="rect">
                      <a:avLst/>
                    </a:prstGeom>
                    <a:noFill/>
                    <a:ln>
                      <a:noFill/>
                    </a:ln>
                  </pic:spPr>
                </pic:pic>
              </a:graphicData>
            </a:graphic>
          </wp:inline>
        </w:drawing>
      </w:r>
    </w:p>
    <w:p w14:paraId="51C08788" w14:textId="77777777" w:rsidR="007E0D1F" w:rsidRPr="007E0D1F" w:rsidRDefault="007E0D1F" w:rsidP="007E0D1F">
      <w:pPr>
        <w:jc w:val="center"/>
        <w:rPr>
          <w:rFonts w:cs="Times New Roman"/>
        </w:rPr>
      </w:pPr>
    </w:p>
    <w:p w14:paraId="621C5322" w14:textId="77777777" w:rsidR="007E0D1F" w:rsidRDefault="007E0D1F" w:rsidP="007E0D1F">
      <w:pPr>
        <w:jc w:val="center"/>
        <w:rPr>
          <w:rFonts w:cs="Times New Roman"/>
          <w:sz w:val="52"/>
          <w:szCs w:val="52"/>
        </w:rPr>
      </w:pPr>
      <w:r w:rsidRPr="007E0D1F">
        <w:rPr>
          <w:rFonts w:cs="Times New Roman"/>
          <w:sz w:val="52"/>
          <w:szCs w:val="52"/>
        </w:rPr>
        <w:t>INFORME SEGUNDO SEGUIMIENYO PLAN DE ANTICORRUPCIÓN Y ATENCIÓN AL CIUDADANO – PAAC 2021</w:t>
      </w:r>
    </w:p>
    <w:p w14:paraId="73AE1A50" w14:textId="77777777" w:rsidR="007E0D1F" w:rsidRDefault="007E0D1F" w:rsidP="007E0D1F">
      <w:pPr>
        <w:jc w:val="center"/>
        <w:rPr>
          <w:rFonts w:cs="Times New Roman"/>
          <w:sz w:val="52"/>
          <w:szCs w:val="52"/>
        </w:rPr>
      </w:pPr>
    </w:p>
    <w:p w14:paraId="79345C88" w14:textId="77777777" w:rsidR="007E0D1F" w:rsidRDefault="007E0D1F" w:rsidP="007E0D1F">
      <w:pPr>
        <w:jc w:val="center"/>
        <w:rPr>
          <w:rFonts w:cs="Times New Roman"/>
          <w:sz w:val="52"/>
          <w:szCs w:val="52"/>
        </w:rPr>
      </w:pPr>
    </w:p>
    <w:p w14:paraId="68CEB5C7" w14:textId="77777777" w:rsidR="007E0D1F" w:rsidRDefault="007E0D1F" w:rsidP="007E0D1F">
      <w:pPr>
        <w:jc w:val="center"/>
        <w:rPr>
          <w:rFonts w:cs="Times New Roman"/>
        </w:rPr>
      </w:pPr>
    </w:p>
    <w:p w14:paraId="5D20948B" w14:textId="77777777" w:rsidR="007E0D1F" w:rsidRDefault="007E0D1F" w:rsidP="007E0D1F">
      <w:pPr>
        <w:pStyle w:val="Ttulo1"/>
        <w:numPr>
          <w:ilvl w:val="0"/>
          <w:numId w:val="1"/>
        </w:numPr>
        <w:ind w:left="284" w:hanging="284"/>
      </w:pPr>
      <w:r>
        <w:lastRenderedPageBreak/>
        <w:t>INTRODUCCIÓN</w:t>
      </w:r>
    </w:p>
    <w:p w14:paraId="45EF7EFF" w14:textId="77777777" w:rsidR="007E0D1F" w:rsidRDefault="007E0D1F" w:rsidP="006C1B42"/>
    <w:p w14:paraId="0FE7E910" w14:textId="77777777" w:rsidR="006C1B42" w:rsidRDefault="006C1B42" w:rsidP="006C1B42">
      <w:pPr>
        <w:pStyle w:val="Default"/>
        <w:jc w:val="both"/>
        <w:rPr>
          <w:sz w:val="22"/>
          <w:szCs w:val="22"/>
        </w:rPr>
      </w:pPr>
      <w:r w:rsidRPr="006C1B42">
        <w:rPr>
          <w:sz w:val="22"/>
          <w:szCs w:val="22"/>
        </w:rPr>
        <w:t>La elaboración del PAAC es de competencia de todas las áreas de la entidad, siendo la Oficina de Planeación la encargada de facilitar, articular y consolidar el informe respectivo de la entidad.</w:t>
      </w:r>
    </w:p>
    <w:p w14:paraId="4EE4B7EB" w14:textId="77777777" w:rsidR="006C1B42" w:rsidRPr="006C1B42" w:rsidRDefault="006C1B42" w:rsidP="006C1B42">
      <w:pPr>
        <w:pStyle w:val="Default"/>
        <w:jc w:val="both"/>
        <w:rPr>
          <w:sz w:val="22"/>
          <w:szCs w:val="22"/>
        </w:rPr>
      </w:pPr>
      <w:r w:rsidRPr="006C1B42">
        <w:rPr>
          <w:sz w:val="22"/>
          <w:szCs w:val="22"/>
        </w:rPr>
        <w:t xml:space="preserve"> </w:t>
      </w:r>
    </w:p>
    <w:p w14:paraId="3770998C" w14:textId="2B840294" w:rsidR="006C1B42" w:rsidRDefault="006C1B42" w:rsidP="006C1B42">
      <w:pPr>
        <w:pStyle w:val="Default"/>
        <w:jc w:val="both"/>
        <w:rPr>
          <w:sz w:val="22"/>
          <w:szCs w:val="22"/>
        </w:rPr>
      </w:pPr>
      <w:r w:rsidRPr="006C1B42">
        <w:rPr>
          <w:sz w:val="22"/>
          <w:szCs w:val="22"/>
        </w:rPr>
        <w:t xml:space="preserve">A continuación, la Oficina Asesora de Planeación presenta los resultados obtenidos en el </w:t>
      </w:r>
      <w:r w:rsidR="007F3658">
        <w:rPr>
          <w:sz w:val="22"/>
          <w:szCs w:val="22"/>
        </w:rPr>
        <w:t>segundo</w:t>
      </w:r>
      <w:r w:rsidRPr="006C1B42">
        <w:rPr>
          <w:sz w:val="22"/>
          <w:szCs w:val="22"/>
        </w:rPr>
        <w:t xml:space="preserve"> seguimiento el al plan de anticorrupción y atención al ciudadano con corte al 30 de a</w:t>
      </w:r>
      <w:r w:rsidR="007F3658">
        <w:rPr>
          <w:sz w:val="22"/>
          <w:szCs w:val="22"/>
        </w:rPr>
        <w:t>gosto</w:t>
      </w:r>
      <w:r w:rsidRPr="006C1B42">
        <w:rPr>
          <w:sz w:val="22"/>
          <w:szCs w:val="22"/>
        </w:rPr>
        <w:t xml:space="preserve"> del 2021 en cumplimiento de lo dispuesto en: </w:t>
      </w:r>
    </w:p>
    <w:p w14:paraId="75BF6E44" w14:textId="77777777" w:rsidR="006C1B42" w:rsidRPr="006C1B42" w:rsidRDefault="006C1B42" w:rsidP="006C1B42">
      <w:pPr>
        <w:pStyle w:val="Default"/>
        <w:jc w:val="both"/>
        <w:rPr>
          <w:sz w:val="22"/>
          <w:szCs w:val="22"/>
        </w:rPr>
      </w:pPr>
    </w:p>
    <w:p w14:paraId="4BF621CF" w14:textId="77777777" w:rsidR="006C1B42" w:rsidRDefault="006C1B42" w:rsidP="006C1B42">
      <w:pPr>
        <w:pStyle w:val="Default"/>
        <w:jc w:val="both"/>
        <w:rPr>
          <w:sz w:val="22"/>
          <w:szCs w:val="22"/>
        </w:rPr>
      </w:pPr>
      <w:r w:rsidRPr="006C1B42">
        <w:rPr>
          <w:sz w:val="22"/>
          <w:szCs w:val="22"/>
        </w:rPr>
        <w:t xml:space="preserve">Ley 1474 de 2011 “Por la cual se dictan normas orientadas a fortalecer los mecanismos de prevención, investigación y sanción de actos de corrupción y la efectividad del control de la gestión pública.” Articulo 73 así: </w:t>
      </w:r>
    </w:p>
    <w:p w14:paraId="3C7BECD3" w14:textId="77777777" w:rsidR="006C1B42" w:rsidRPr="006C1B42" w:rsidRDefault="006C1B42" w:rsidP="006C1B42">
      <w:pPr>
        <w:pStyle w:val="Default"/>
        <w:jc w:val="both"/>
        <w:rPr>
          <w:sz w:val="22"/>
          <w:szCs w:val="22"/>
        </w:rPr>
      </w:pPr>
    </w:p>
    <w:p w14:paraId="79392055" w14:textId="77777777" w:rsidR="006C1B42" w:rsidRDefault="006C1B42" w:rsidP="006C1B42">
      <w:pPr>
        <w:pStyle w:val="Default"/>
        <w:jc w:val="both"/>
        <w:rPr>
          <w:i/>
          <w:iCs/>
          <w:sz w:val="22"/>
          <w:szCs w:val="22"/>
        </w:rPr>
      </w:pPr>
      <w:r w:rsidRPr="006C1B42">
        <w:rPr>
          <w:i/>
          <w:iCs/>
          <w:sz w:val="22"/>
          <w:szCs w:val="22"/>
        </w:rPr>
        <w:t xml:space="preserve">“(…) ARTÍCULO 73. PLAN ANTICORRUPCIÓN Y DE ATENCIÓN AL CIUDADANO.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proofErr w:type="gramStart"/>
      <w:r w:rsidRPr="006C1B42">
        <w:rPr>
          <w:i/>
          <w:iCs/>
          <w:sz w:val="22"/>
          <w:szCs w:val="22"/>
        </w:rPr>
        <w:t>anti trámites</w:t>
      </w:r>
      <w:proofErr w:type="gramEnd"/>
      <w:r w:rsidRPr="006C1B42">
        <w:rPr>
          <w:i/>
          <w:iCs/>
          <w:sz w:val="22"/>
          <w:szCs w:val="22"/>
        </w:rPr>
        <w:t xml:space="preserve"> y los mecanismos para mejorar la atención al ciudadano. </w:t>
      </w:r>
    </w:p>
    <w:p w14:paraId="1F9A5A3C" w14:textId="77777777" w:rsidR="006C1B42" w:rsidRPr="006C1B42" w:rsidRDefault="006C1B42" w:rsidP="006C1B42">
      <w:pPr>
        <w:pStyle w:val="Default"/>
        <w:jc w:val="both"/>
        <w:rPr>
          <w:sz w:val="22"/>
          <w:szCs w:val="22"/>
        </w:rPr>
      </w:pPr>
    </w:p>
    <w:p w14:paraId="7F848549" w14:textId="77777777" w:rsidR="006C1B42" w:rsidRPr="006C1B42" w:rsidRDefault="006C1B42" w:rsidP="006C1B42">
      <w:pPr>
        <w:pStyle w:val="Default"/>
        <w:jc w:val="both"/>
        <w:rPr>
          <w:sz w:val="22"/>
          <w:szCs w:val="22"/>
        </w:rPr>
      </w:pPr>
      <w:r w:rsidRPr="006C1B42">
        <w:rPr>
          <w:i/>
          <w:iCs/>
          <w:sz w:val="22"/>
          <w:szCs w:val="22"/>
        </w:rPr>
        <w:t xml:space="preserve">El Programa Presidencial de Modernización, Eficiencia, Transparencia y Lucha contra la Corrupción señalará una metodología para diseñar y hacerle seguimiento a la señalada estrategia. (…)” </w:t>
      </w:r>
    </w:p>
    <w:p w14:paraId="19FA4B64" w14:textId="77777777" w:rsidR="006C1B42" w:rsidRDefault="006C1B42" w:rsidP="006C1B42">
      <w:pPr>
        <w:pStyle w:val="Default"/>
        <w:jc w:val="both"/>
        <w:rPr>
          <w:sz w:val="22"/>
          <w:szCs w:val="22"/>
        </w:rPr>
      </w:pPr>
    </w:p>
    <w:p w14:paraId="322AF732" w14:textId="77777777" w:rsidR="006C1B42" w:rsidRDefault="006C1B42" w:rsidP="006C1B42">
      <w:pPr>
        <w:pStyle w:val="Default"/>
        <w:jc w:val="both"/>
        <w:rPr>
          <w:sz w:val="22"/>
          <w:szCs w:val="22"/>
        </w:rPr>
      </w:pPr>
      <w:r w:rsidRPr="006C1B42">
        <w:rPr>
          <w:sz w:val="22"/>
          <w:szCs w:val="22"/>
        </w:rPr>
        <w:t xml:space="preserve">Decreto 2641 de 2012 “Por el cual se reglamentan los artículos 73 y 76 de la Ley 1474 de 2011” artículos 1,2,3 y 5 así: </w:t>
      </w:r>
    </w:p>
    <w:p w14:paraId="355A1806" w14:textId="77777777" w:rsidR="006C1B42" w:rsidRPr="006C1B42" w:rsidRDefault="006C1B42" w:rsidP="006C1B42">
      <w:pPr>
        <w:pStyle w:val="Default"/>
        <w:jc w:val="both"/>
        <w:rPr>
          <w:sz w:val="22"/>
          <w:szCs w:val="22"/>
        </w:rPr>
      </w:pPr>
    </w:p>
    <w:p w14:paraId="5C58765E" w14:textId="77777777" w:rsidR="006C1B42" w:rsidRDefault="006C1B42" w:rsidP="006C1B42">
      <w:pPr>
        <w:pStyle w:val="Default"/>
        <w:jc w:val="both"/>
        <w:rPr>
          <w:i/>
          <w:iCs/>
          <w:sz w:val="22"/>
          <w:szCs w:val="22"/>
        </w:rPr>
      </w:pPr>
      <w:r w:rsidRPr="006C1B42">
        <w:rPr>
          <w:i/>
          <w:iCs/>
          <w:sz w:val="22"/>
          <w:szCs w:val="22"/>
        </w:rPr>
        <w:t xml:space="preserve">“(…) Artículo 1°. Señálese como metodología para diseñar y hacer seguimiento a la estrategia de lucha contra la corrupción y de atención al ciudadano de que trata el artículo 73 de la Ley 1474 de 2011, la establecida en el Plan Anticorrupción y de Atención al Ciudadano contenida en el documento “Estrategias para la Construcción del Plan Anticorrupción y de Atención al Ciudadano”. </w:t>
      </w:r>
    </w:p>
    <w:p w14:paraId="48C1EC55" w14:textId="77777777" w:rsidR="006C1B42" w:rsidRPr="006C1B42" w:rsidRDefault="006C1B42" w:rsidP="006C1B42">
      <w:pPr>
        <w:pStyle w:val="Default"/>
        <w:jc w:val="both"/>
        <w:rPr>
          <w:sz w:val="22"/>
          <w:szCs w:val="22"/>
        </w:rPr>
      </w:pPr>
    </w:p>
    <w:p w14:paraId="52946034" w14:textId="77777777" w:rsidR="007E0D1F" w:rsidRPr="006C1B42" w:rsidRDefault="006C1B42" w:rsidP="006C1B42">
      <w:r w:rsidRPr="006C1B42">
        <w:rPr>
          <w:i/>
          <w:iCs/>
        </w:rPr>
        <w:t>Artículo 2°. Señálense como estándares que deben cumplir las entidades públicas para dar cumplimiento a lo establecido en el artículo 76 de la Ley 1474 de 2011, los contenidos en el documento “Estrategias para la Construcción del Plan Anticorrupción y de Atención al Ciudadano”. (…)”</w:t>
      </w:r>
    </w:p>
    <w:p w14:paraId="213B973D" w14:textId="77777777" w:rsidR="007E0D1F" w:rsidRDefault="007E0D1F" w:rsidP="007E0D1F"/>
    <w:p w14:paraId="0625CBAA" w14:textId="77777777" w:rsidR="006C1B42" w:rsidRDefault="006C1B42" w:rsidP="007E0D1F"/>
    <w:p w14:paraId="7302FDB0" w14:textId="77777777" w:rsidR="006C1B42" w:rsidRDefault="006C1B42" w:rsidP="007E0D1F"/>
    <w:p w14:paraId="54CB4D56" w14:textId="77777777" w:rsidR="006C1B42" w:rsidRDefault="006C1B42" w:rsidP="007E0D1F"/>
    <w:p w14:paraId="1662B496" w14:textId="77777777" w:rsidR="006C1B42" w:rsidRDefault="006C1B42" w:rsidP="007E0D1F"/>
    <w:p w14:paraId="63B697E3" w14:textId="77777777" w:rsidR="006C1B42" w:rsidRDefault="006C1B42" w:rsidP="007E0D1F"/>
    <w:p w14:paraId="6EEDBE8C" w14:textId="77777777" w:rsidR="006C1B42" w:rsidRDefault="006C1B42" w:rsidP="007E0D1F"/>
    <w:p w14:paraId="31B3EDF5" w14:textId="77777777" w:rsidR="006C1B42" w:rsidRDefault="006C1B42" w:rsidP="007E0D1F"/>
    <w:p w14:paraId="5EBC9576" w14:textId="77777777" w:rsidR="006C1B42" w:rsidRDefault="006C1B42" w:rsidP="007E0D1F"/>
    <w:p w14:paraId="03BEB852" w14:textId="77777777" w:rsidR="006C1B42" w:rsidRDefault="006C1B42" w:rsidP="007E0D1F"/>
    <w:p w14:paraId="46B1DD35" w14:textId="77777777" w:rsidR="006C1B42" w:rsidRDefault="006C1B42" w:rsidP="006C1B42">
      <w:pPr>
        <w:pStyle w:val="Ttulo1"/>
        <w:numPr>
          <w:ilvl w:val="0"/>
          <w:numId w:val="1"/>
        </w:numPr>
        <w:ind w:left="284" w:hanging="284"/>
      </w:pPr>
      <w:r>
        <w:lastRenderedPageBreak/>
        <w:t>DISTRIBUCIÓN DEL PLAN EN LA VIGENCIA</w:t>
      </w:r>
    </w:p>
    <w:p w14:paraId="308015AB" w14:textId="77777777" w:rsidR="006C1B42" w:rsidRDefault="006C1B42" w:rsidP="006C1B42"/>
    <w:p w14:paraId="3CCC0BAD" w14:textId="77777777" w:rsidR="006C1B42" w:rsidRDefault="006C1B42" w:rsidP="006C1B42">
      <w:r>
        <w:t>La Oficina Asesora de Planeación estableció como lineamiento para la formulación</w:t>
      </w:r>
      <w:r w:rsidR="00FC2300">
        <w:t xml:space="preserve"> de las acciones que componen el Plan Anticorrupción y Atención al Ciudadano, la programación de las actividades de acuerdo con el tiempo en el que realmente se tienen programadas, esto con el fin de evitar que se programen todas las acciones a 31 de diciembre, situación que afecta el cumplimiento del plan.</w:t>
      </w:r>
    </w:p>
    <w:p w14:paraId="7AE8BB6B" w14:textId="77777777" w:rsidR="00FC2300" w:rsidRDefault="00FC2300" w:rsidP="006C1B42">
      <w:r>
        <w:t>El PAAC se encuentra distribuido de la siguiente forma para la presente vigencia:</w:t>
      </w:r>
    </w:p>
    <w:p w14:paraId="4D6AF454" w14:textId="77777777" w:rsidR="00FC2300" w:rsidRDefault="00251485" w:rsidP="006C1B42">
      <w:r>
        <w:rPr>
          <w:noProof/>
          <w:lang w:eastAsia="es-CO"/>
        </w:rPr>
        <w:drawing>
          <wp:inline distT="0" distB="0" distL="0" distR="0" wp14:anchorId="65E2E1D4" wp14:editId="4BFE6B11">
            <wp:extent cx="5971540" cy="199580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1540" cy="1995805"/>
                    </a:xfrm>
                    <a:prstGeom prst="rect">
                      <a:avLst/>
                    </a:prstGeom>
                  </pic:spPr>
                </pic:pic>
              </a:graphicData>
            </a:graphic>
          </wp:inline>
        </w:drawing>
      </w:r>
    </w:p>
    <w:p w14:paraId="1B2C091E" w14:textId="77777777" w:rsidR="00A77BFA" w:rsidRDefault="00A77BFA" w:rsidP="006C1B42">
      <w:r>
        <w:t>Como se puede observar para el primer cuatrimestre (Enero – Abril) se tiene contemplado dar cumplimiento al 16% del plan, para segundo cuatrimestre (Mayo – Agosto) el 29% y para el último cuatrimestre se debe cumplir con el 55%</w:t>
      </w:r>
    </w:p>
    <w:p w14:paraId="03668C22" w14:textId="77777777" w:rsidR="00A77BFA" w:rsidRDefault="00A77BFA" w:rsidP="006C1B42"/>
    <w:p w14:paraId="101AABBA" w14:textId="77777777" w:rsidR="00251485" w:rsidRDefault="00251485" w:rsidP="00251485">
      <w:pPr>
        <w:pStyle w:val="Ttulo1"/>
        <w:numPr>
          <w:ilvl w:val="0"/>
          <w:numId w:val="1"/>
        </w:numPr>
        <w:ind w:left="284" w:hanging="284"/>
      </w:pPr>
      <w:r>
        <w:t>RESULTADOS</w:t>
      </w:r>
    </w:p>
    <w:p w14:paraId="6A3ABAF6" w14:textId="77777777" w:rsidR="00251485" w:rsidRDefault="00251485" w:rsidP="00251485"/>
    <w:p w14:paraId="6A2358A4" w14:textId="77777777" w:rsidR="00251485" w:rsidRDefault="00251485" w:rsidP="00251485">
      <w:r>
        <w:t xml:space="preserve">Con el fin de analizar el progreso en el cumplimiento del Plan Anticorrupción y Atención al ciudadano se presentará los resultados obtenidos respecto al </w:t>
      </w:r>
      <w:r>
        <w:rPr>
          <w:b/>
          <w:bCs/>
          <w:i/>
          <w:iCs/>
        </w:rPr>
        <w:t xml:space="preserve">cumplimiento </w:t>
      </w:r>
      <w:r>
        <w:t xml:space="preserve">y al </w:t>
      </w:r>
      <w:r>
        <w:rPr>
          <w:b/>
          <w:bCs/>
          <w:i/>
          <w:iCs/>
        </w:rPr>
        <w:t xml:space="preserve">avance </w:t>
      </w:r>
      <w:r>
        <w:t xml:space="preserve">del plan. </w:t>
      </w:r>
    </w:p>
    <w:p w14:paraId="690C6D48" w14:textId="77777777" w:rsidR="00251485" w:rsidRDefault="00251485" w:rsidP="00251485">
      <w:r>
        <w:t xml:space="preserve">El </w:t>
      </w:r>
      <w:r w:rsidRPr="003F3EC7">
        <w:rPr>
          <w:b/>
          <w:bCs/>
        </w:rPr>
        <w:t>Cumplimiento</w:t>
      </w:r>
      <w:r>
        <w:t xml:space="preserve"> se refiere al porcentaje de avance logrado respecto a las actividades que se vencen durante el periodo evaluado, es decir no se incluyen actividades que aún no hayan iniciado. </w:t>
      </w:r>
    </w:p>
    <w:p w14:paraId="1CC95DF7" w14:textId="77777777" w:rsidR="00251485" w:rsidRDefault="00251485" w:rsidP="00251485">
      <w:r>
        <w:t xml:space="preserve">El </w:t>
      </w:r>
      <w:r w:rsidRPr="003F3EC7">
        <w:rPr>
          <w:b/>
          <w:bCs/>
        </w:rPr>
        <w:t>Avance</w:t>
      </w:r>
      <w:r>
        <w:t xml:space="preserve"> se entiende como el porcentaje del plan que se ha adelantado respecto al total de las acciones programadas para toda la vigencia, incluyendo actividades que posiblemente aún no han iniciado.</w:t>
      </w:r>
    </w:p>
    <w:p w14:paraId="74269B67" w14:textId="77777777" w:rsidR="00FB79B0" w:rsidRDefault="00FB79B0" w:rsidP="00251485"/>
    <w:p w14:paraId="0824B3FC" w14:textId="77777777" w:rsidR="00FB79B0" w:rsidRDefault="00FB79B0" w:rsidP="00FB79B0">
      <w:pPr>
        <w:pStyle w:val="Ttulo2"/>
        <w:numPr>
          <w:ilvl w:val="1"/>
          <w:numId w:val="1"/>
        </w:numPr>
        <w:ind w:left="426" w:hanging="426"/>
      </w:pPr>
      <w:r>
        <w:t>CUMPLIMIENTO PAAC (General)</w:t>
      </w:r>
    </w:p>
    <w:p w14:paraId="03197DE0" w14:textId="77777777" w:rsidR="00FB79B0" w:rsidRDefault="00FB79B0" w:rsidP="00FB79B0"/>
    <w:p w14:paraId="03FEBE1D" w14:textId="77777777" w:rsidR="00DE5773" w:rsidRDefault="00DE5773" w:rsidP="00DE5773">
      <w:r>
        <w:t xml:space="preserve">Para el segundo cuatrimestre de la vigencia (Enero – Agosto) se tenían programadas un total de 42 actividades, equivalente a un </w:t>
      </w:r>
      <w:r w:rsidRPr="00DE5773">
        <w:rPr>
          <w:b/>
        </w:rPr>
        <w:t xml:space="preserve">45% </w:t>
      </w:r>
      <w:r>
        <w:t>del plan.</w:t>
      </w:r>
    </w:p>
    <w:p w14:paraId="5ED019CE" w14:textId="77777777" w:rsidR="00DE5773" w:rsidRDefault="00DE5773" w:rsidP="00DE5773">
      <w:r>
        <w:t xml:space="preserve">Teniendo en cuenta que, durante el </w:t>
      </w:r>
      <w:r w:rsidR="003314A9">
        <w:t>primer y segundo cuatrimestre de cumplieron</w:t>
      </w:r>
      <w:r>
        <w:t xml:space="preserve"> 31 de las actividades propuestas, el PAAC p</w:t>
      </w:r>
      <w:r w:rsidR="003314A9">
        <w:t xml:space="preserve">resenta un cumplimiento del </w:t>
      </w:r>
      <w:r w:rsidR="003314A9" w:rsidRPr="003314A9">
        <w:rPr>
          <w:b/>
          <w:u w:val="single"/>
        </w:rPr>
        <w:t>73,8</w:t>
      </w:r>
      <w:r w:rsidRPr="003314A9">
        <w:rPr>
          <w:b/>
          <w:u w:val="single"/>
        </w:rPr>
        <w:t>%</w:t>
      </w:r>
      <w:r>
        <w:t xml:space="preserve"> para el periodo comprendido d</w:t>
      </w:r>
      <w:r w:rsidR="003314A9">
        <w:t>e enero</w:t>
      </w:r>
      <w:r>
        <w:t xml:space="preserve"> – agosto.</w:t>
      </w:r>
    </w:p>
    <w:p w14:paraId="707AD84E" w14:textId="77777777" w:rsidR="00DE5773" w:rsidRDefault="00DE5773" w:rsidP="00DE5773">
      <w:r>
        <w:t>Por componentes el cumplimiento fue el siguiente:</w:t>
      </w:r>
    </w:p>
    <w:p w14:paraId="33C90925" w14:textId="77777777" w:rsidR="003314A9" w:rsidRDefault="003314A9" w:rsidP="003314A9">
      <w:pPr>
        <w:jc w:val="center"/>
      </w:pPr>
      <w:r>
        <w:rPr>
          <w:noProof/>
          <w:lang w:eastAsia="es-CO"/>
        </w:rPr>
        <w:lastRenderedPageBreak/>
        <w:drawing>
          <wp:inline distT="0" distB="0" distL="0" distR="0" wp14:anchorId="7A5E37F9" wp14:editId="0B9652A2">
            <wp:extent cx="5556739" cy="1668085"/>
            <wp:effectExtent l="0" t="0" r="635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3807" cy="1673209"/>
                    </a:xfrm>
                    <a:prstGeom prst="rect">
                      <a:avLst/>
                    </a:prstGeom>
                  </pic:spPr>
                </pic:pic>
              </a:graphicData>
            </a:graphic>
          </wp:inline>
        </w:drawing>
      </w:r>
    </w:p>
    <w:p w14:paraId="42709DFE" w14:textId="5B62DA0E" w:rsidR="00DF2A6D" w:rsidRDefault="00DF2A6D" w:rsidP="00FB79B0"/>
    <w:p w14:paraId="7A541F9A" w14:textId="3AE1F694" w:rsidR="003F3EC7" w:rsidRDefault="003F3EC7" w:rsidP="00FB79B0">
      <w:r>
        <w:t xml:space="preserve">Respecto a las 11 actividades que no se han completado para el periodo enero – agosto, el avance se detalla a </w:t>
      </w:r>
      <w:proofErr w:type="spellStart"/>
      <w:r>
        <w:t>continación</w:t>
      </w:r>
      <w:proofErr w:type="spellEnd"/>
      <w:r>
        <w:t>:</w:t>
      </w:r>
    </w:p>
    <w:p w14:paraId="7569F309" w14:textId="77777777" w:rsidR="00DF2A6D" w:rsidRPr="00DF2A6D" w:rsidRDefault="00DF2A6D" w:rsidP="00DF2A6D">
      <w:pPr>
        <w:jc w:val="center"/>
        <w:rPr>
          <w:b/>
          <w:sz w:val="18"/>
          <w:szCs w:val="18"/>
        </w:rPr>
      </w:pPr>
      <w:r w:rsidRPr="00DF2A6D">
        <w:rPr>
          <w:b/>
          <w:sz w:val="18"/>
          <w:szCs w:val="18"/>
        </w:rPr>
        <w:t>Actividades vencidas a 31-ago-2021</w:t>
      </w:r>
    </w:p>
    <w:p w14:paraId="7C9D9155" w14:textId="77777777" w:rsidR="00DF2A6D" w:rsidRDefault="00DF2A6D" w:rsidP="00FB79B0">
      <w:r>
        <w:rPr>
          <w:noProof/>
          <w:lang w:eastAsia="es-CO"/>
        </w:rPr>
        <w:drawing>
          <wp:inline distT="0" distB="0" distL="0" distR="0" wp14:anchorId="20ECB80B" wp14:editId="345D3166">
            <wp:extent cx="5971540" cy="2037080"/>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2037080"/>
                    </a:xfrm>
                    <a:prstGeom prst="rect">
                      <a:avLst/>
                    </a:prstGeom>
                  </pic:spPr>
                </pic:pic>
              </a:graphicData>
            </a:graphic>
          </wp:inline>
        </w:drawing>
      </w:r>
    </w:p>
    <w:p w14:paraId="43DD6DD4" w14:textId="77777777" w:rsidR="003314A9" w:rsidRDefault="003314A9" w:rsidP="00FB79B0"/>
    <w:p w14:paraId="20CB32E9" w14:textId="77777777" w:rsidR="00DF2A6D" w:rsidRDefault="00DF2A6D" w:rsidP="00DF2A6D">
      <w:pPr>
        <w:pStyle w:val="Ttulo3"/>
        <w:numPr>
          <w:ilvl w:val="2"/>
          <w:numId w:val="1"/>
        </w:numPr>
        <w:ind w:left="709" w:hanging="709"/>
      </w:pPr>
      <w:r>
        <w:t>ALERTAS</w:t>
      </w:r>
    </w:p>
    <w:p w14:paraId="2E6CE6C4" w14:textId="77777777" w:rsidR="00DF2A6D" w:rsidRDefault="00DF2A6D" w:rsidP="00DF2A6D"/>
    <w:p w14:paraId="22DDCA0B" w14:textId="470DA63E" w:rsidR="00DF2A6D" w:rsidRDefault="00DF2A6D" w:rsidP="00DF2A6D">
      <w:r>
        <w:t xml:space="preserve">La Oficina Asesora de Planeación </w:t>
      </w:r>
      <w:r w:rsidRPr="001060FA">
        <w:rPr>
          <w:b/>
          <w:u w:val="single"/>
        </w:rPr>
        <w:t>genera alerta</w:t>
      </w:r>
      <w:r>
        <w:t xml:space="preserve"> frente a las actividades vencidas y que se detallan a continuación</w:t>
      </w:r>
      <w:r w:rsidR="003F3EC7">
        <w:t xml:space="preserve"> por componente:</w:t>
      </w:r>
    </w:p>
    <w:p w14:paraId="5B672132" w14:textId="6C73FCCC" w:rsidR="003F3EC7" w:rsidRPr="00624870" w:rsidRDefault="003E2368" w:rsidP="003E2368">
      <w:pPr>
        <w:jc w:val="left"/>
        <w:rPr>
          <w:b/>
          <w:sz w:val="18"/>
          <w:szCs w:val="18"/>
        </w:rPr>
      </w:pPr>
      <w:r>
        <w:rPr>
          <w:b/>
        </w:rPr>
        <w:t>Componente 1 - Gestión</w:t>
      </w:r>
      <w:r w:rsidRPr="009E712A">
        <w:rPr>
          <w:b/>
        </w:rPr>
        <w:t xml:space="preserve"> del riesgo</w:t>
      </w:r>
    </w:p>
    <w:tbl>
      <w:tblPr>
        <w:tblStyle w:val="Tablaconcuadrcula"/>
        <w:tblW w:w="0" w:type="auto"/>
        <w:tblLook w:val="04A0" w:firstRow="1" w:lastRow="0" w:firstColumn="1" w:lastColumn="0" w:noHBand="0" w:noVBand="1"/>
      </w:tblPr>
      <w:tblGrid>
        <w:gridCol w:w="4531"/>
        <w:gridCol w:w="2127"/>
        <w:gridCol w:w="1417"/>
        <w:gridCol w:w="1319"/>
      </w:tblGrid>
      <w:tr w:rsidR="003F3EC7" w14:paraId="6D0AA42D" w14:textId="77777777" w:rsidTr="00AF09BD">
        <w:tc>
          <w:tcPr>
            <w:tcW w:w="4531" w:type="dxa"/>
            <w:vAlign w:val="center"/>
          </w:tcPr>
          <w:p w14:paraId="3580841F" w14:textId="77777777" w:rsidR="003F3EC7" w:rsidRPr="007B163C" w:rsidRDefault="003F3EC7" w:rsidP="00AF09BD">
            <w:pPr>
              <w:jc w:val="center"/>
              <w:rPr>
                <w:b/>
              </w:rPr>
            </w:pPr>
            <w:r w:rsidRPr="007B163C">
              <w:rPr>
                <w:b/>
              </w:rPr>
              <w:t>Actividad</w:t>
            </w:r>
          </w:p>
        </w:tc>
        <w:tc>
          <w:tcPr>
            <w:tcW w:w="2127" w:type="dxa"/>
            <w:vAlign w:val="center"/>
          </w:tcPr>
          <w:p w14:paraId="1E5964B8" w14:textId="77777777" w:rsidR="003F3EC7" w:rsidRPr="007B163C" w:rsidRDefault="003F3EC7" w:rsidP="00AF09BD">
            <w:pPr>
              <w:jc w:val="center"/>
              <w:rPr>
                <w:b/>
              </w:rPr>
            </w:pPr>
            <w:r w:rsidRPr="007B163C">
              <w:rPr>
                <w:b/>
              </w:rPr>
              <w:t>Responsable</w:t>
            </w:r>
          </w:p>
        </w:tc>
        <w:tc>
          <w:tcPr>
            <w:tcW w:w="1417" w:type="dxa"/>
            <w:vAlign w:val="center"/>
          </w:tcPr>
          <w:p w14:paraId="667996F2" w14:textId="77777777" w:rsidR="003F3EC7" w:rsidRPr="007B163C" w:rsidRDefault="003F3EC7" w:rsidP="00AF09BD">
            <w:pPr>
              <w:jc w:val="center"/>
              <w:rPr>
                <w:b/>
              </w:rPr>
            </w:pPr>
            <w:r w:rsidRPr="007B163C">
              <w:rPr>
                <w:b/>
              </w:rPr>
              <w:t>Fecha programada</w:t>
            </w:r>
          </w:p>
        </w:tc>
        <w:tc>
          <w:tcPr>
            <w:tcW w:w="1319" w:type="dxa"/>
            <w:vAlign w:val="center"/>
          </w:tcPr>
          <w:p w14:paraId="61A0B347" w14:textId="77777777" w:rsidR="003F3EC7" w:rsidRPr="007B163C" w:rsidRDefault="003F3EC7" w:rsidP="00AF09BD">
            <w:pPr>
              <w:jc w:val="center"/>
              <w:rPr>
                <w:b/>
              </w:rPr>
            </w:pPr>
            <w:r w:rsidRPr="007B163C">
              <w:rPr>
                <w:b/>
              </w:rPr>
              <w:t>% de avance</w:t>
            </w:r>
          </w:p>
        </w:tc>
      </w:tr>
      <w:tr w:rsidR="003F3EC7" w14:paraId="65140ECB" w14:textId="77777777" w:rsidTr="00AF09BD">
        <w:tc>
          <w:tcPr>
            <w:tcW w:w="4531" w:type="dxa"/>
            <w:vAlign w:val="center"/>
          </w:tcPr>
          <w:p w14:paraId="4C493614" w14:textId="77777777" w:rsidR="003F3EC7" w:rsidRDefault="003F3EC7" w:rsidP="00AF09BD">
            <w:r w:rsidRPr="007B163C">
              <w:t>Socializar al equipo SIGID de la entidad, la nueva metodología de la Política de Administración del riesgo</w:t>
            </w:r>
            <w:r>
              <w:t>.</w:t>
            </w:r>
          </w:p>
        </w:tc>
        <w:tc>
          <w:tcPr>
            <w:tcW w:w="2127" w:type="dxa"/>
            <w:vAlign w:val="center"/>
          </w:tcPr>
          <w:p w14:paraId="2FAC6E1D" w14:textId="77777777" w:rsidR="003F3EC7" w:rsidRDefault="003F3EC7" w:rsidP="00AF09BD">
            <w:pPr>
              <w:jc w:val="center"/>
            </w:pPr>
            <w:r>
              <w:t>OAP – Equipo MIPG</w:t>
            </w:r>
          </w:p>
        </w:tc>
        <w:tc>
          <w:tcPr>
            <w:tcW w:w="1417" w:type="dxa"/>
            <w:vAlign w:val="center"/>
          </w:tcPr>
          <w:p w14:paraId="05092801" w14:textId="77777777" w:rsidR="003F3EC7" w:rsidRDefault="003F3EC7" w:rsidP="00AF09BD">
            <w:pPr>
              <w:jc w:val="center"/>
            </w:pPr>
            <w:r>
              <w:t>30/07/2021</w:t>
            </w:r>
          </w:p>
        </w:tc>
        <w:tc>
          <w:tcPr>
            <w:tcW w:w="1319" w:type="dxa"/>
            <w:vAlign w:val="center"/>
          </w:tcPr>
          <w:p w14:paraId="4B505D31" w14:textId="77777777" w:rsidR="003F3EC7" w:rsidRDefault="003F3EC7" w:rsidP="00AF09BD">
            <w:pPr>
              <w:jc w:val="center"/>
            </w:pPr>
            <w:r>
              <w:t>0%</w:t>
            </w:r>
          </w:p>
        </w:tc>
      </w:tr>
      <w:tr w:rsidR="003F3EC7" w14:paraId="026DABD0" w14:textId="77777777" w:rsidTr="00AF09BD">
        <w:tc>
          <w:tcPr>
            <w:tcW w:w="4531" w:type="dxa"/>
            <w:vAlign w:val="center"/>
          </w:tcPr>
          <w:p w14:paraId="4D887476" w14:textId="77777777" w:rsidR="003F3EC7" w:rsidRDefault="003F3EC7" w:rsidP="00AF09BD">
            <w:r w:rsidRPr="009E712A">
              <w:t>Actualizar los Mapas de Riesgos de Corrupción y Gestión de acuerdo la nueva metodología de administración del riesgo.</w:t>
            </w:r>
          </w:p>
        </w:tc>
        <w:tc>
          <w:tcPr>
            <w:tcW w:w="2127" w:type="dxa"/>
            <w:vAlign w:val="center"/>
          </w:tcPr>
          <w:p w14:paraId="06E8B03B" w14:textId="77777777" w:rsidR="003F3EC7" w:rsidRDefault="003F3EC7" w:rsidP="00AF09BD">
            <w:r>
              <w:t xml:space="preserve">OAP - Equipo MIPG </w:t>
            </w:r>
          </w:p>
          <w:p w14:paraId="27BD8759" w14:textId="77777777" w:rsidR="003F3EC7" w:rsidRDefault="003F3EC7" w:rsidP="00AF09BD">
            <w:r>
              <w:t>Áreas y procesos de la entidad</w:t>
            </w:r>
          </w:p>
        </w:tc>
        <w:tc>
          <w:tcPr>
            <w:tcW w:w="1417" w:type="dxa"/>
            <w:vAlign w:val="center"/>
          </w:tcPr>
          <w:p w14:paraId="2CFE38DA" w14:textId="77777777" w:rsidR="003F3EC7" w:rsidRDefault="003F3EC7" w:rsidP="00AF09BD">
            <w:pPr>
              <w:jc w:val="center"/>
            </w:pPr>
            <w:r>
              <w:t>30/06/2021</w:t>
            </w:r>
          </w:p>
        </w:tc>
        <w:tc>
          <w:tcPr>
            <w:tcW w:w="1319" w:type="dxa"/>
            <w:vAlign w:val="center"/>
          </w:tcPr>
          <w:p w14:paraId="2FD7BCAB" w14:textId="77777777" w:rsidR="003F3EC7" w:rsidRDefault="003F3EC7" w:rsidP="00AF09BD">
            <w:pPr>
              <w:jc w:val="center"/>
            </w:pPr>
            <w:r>
              <w:t>0%</w:t>
            </w:r>
          </w:p>
        </w:tc>
      </w:tr>
      <w:tr w:rsidR="003F3EC7" w14:paraId="7FF84964" w14:textId="77777777" w:rsidTr="00AF09BD">
        <w:tc>
          <w:tcPr>
            <w:tcW w:w="4531" w:type="dxa"/>
            <w:vAlign w:val="center"/>
          </w:tcPr>
          <w:p w14:paraId="44650D2C" w14:textId="77777777" w:rsidR="003F3EC7" w:rsidRDefault="003F3EC7" w:rsidP="00AF09BD">
            <w:r w:rsidRPr="009E712A">
              <w:t>Aprobación de mapas de riesgos por parte de los líderes de proceso, con previo visto bueno de la OAP</w:t>
            </w:r>
          </w:p>
        </w:tc>
        <w:tc>
          <w:tcPr>
            <w:tcW w:w="2127" w:type="dxa"/>
            <w:vAlign w:val="center"/>
          </w:tcPr>
          <w:p w14:paraId="73B73D2E" w14:textId="77777777" w:rsidR="003F3EC7" w:rsidRDefault="003F3EC7" w:rsidP="00AF09BD">
            <w:r>
              <w:t xml:space="preserve">OAP - Equipo MIPG </w:t>
            </w:r>
          </w:p>
          <w:p w14:paraId="57B309A4" w14:textId="77777777" w:rsidR="003F3EC7" w:rsidRDefault="003F3EC7" w:rsidP="00AF09BD">
            <w:r>
              <w:t>Áreas y procesos de la entidad</w:t>
            </w:r>
          </w:p>
        </w:tc>
        <w:tc>
          <w:tcPr>
            <w:tcW w:w="1417" w:type="dxa"/>
            <w:vAlign w:val="center"/>
          </w:tcPr>
          <w:p w14:paraId="0A85C334" w14:textId="77777777" w:rsidR="003F3EC7" w:rsidRDefault="003F3EC7" w:rsidP="00AF09BD">
            <w:pPr>
              <w:jc w:val="center"/>
            </w:pPr>
            <w:r>
              <w:t>15/07/2021</w:t>
            </w:r>
          </w:p>
        </w:tc>
        <w:tc>
          <w:tcPr>
            <w:tcW w:w="1319" w:type="dxa"/>
            <w:vAlign w:val="center"/>
          </w:tcPr>
          <w:p w14:paraId="489E6793" w14:textId="77777777" w:rsidR="003F3EC7" w:rsidRDefault="003F3EC7" w:rsidP="00AF09BD">
            <w:pPr>
              <w:jc w:val="center"/>
            </w:pPr>
            <w:r>
              <w:t>0%</w:t>
            </w:r>
          </w:p>
        </w:tc>
      </w:tr>
      <w:tr w:rsidR="003F3EC7" w14:paraId="2B72A4B6" w14:textId="77777777" w:rsidTr="00AF09BD">
        <w:tc>
          <w:tcPr>
            <w:tcW w:w="4531" w:type="dxa"/>
            <w:vAlign w:val="center"/>
          </w:tcPr>
          <w:p w14:paraId="73247D1B" w14:textId="77777777" w:rsidR="003F3EC7" w:rsidRDefault="003F3EC7" w:rsidP="00AF09BD">
            <w:r w:rsidRPr="009E712A">
              <w:lastRenderedPageBreak/>
              <w:t>Revisar y formular los mapas de riesgos de las OPAS de la entidad.</w:t>
            </w:r>
          </w:p>
        </w:tc>
        <w:tc>
          <w:tcPr>
            <w:tcW w:w="2127" w:type="dxa"/>
            <w:vAlign w:val="center"/>
          </w:tcPr>
          <w:p w14:paraId="59E077B5" w14:textId="77777777" w:rsidR="003F3EC7" w:rsidRDefault="003F3EC7" w:rsidP="00AF09BD">
            <w:r>
              <w:t xml:space="preserve">OAP - Equipo MIPG </w:t>
            </w:r>
          </w:p>
          <w:p w14:paraId="135D412F" w14:textId="77777777" w:rsidR="003F3EC7" w:rsidRDefault="003F3EC7" w:rsidP="00AF09BD">
            <w:r>
              <w:t>Atención a la Ciudadanía - Subdirección de Métodos</w:t>
            </w:r>
          </w:p>
        </w:tc>
        <w:tc>
          <w:tcPr>
            <w:tcW w:w="1417" w:type="dxa"/>
            <w:vAlign w:val="center"/>
          </w:tcPr>
          <w:p w14:paraId="7B9A6729" w14:textId="77777777" w:rsidR="003F3EC7" w:rsidRDefault="003F3EC7" w:rsidP="00AF09BD">
            <w:pPr>
              <w:jc w:val="center"/>
            </w:pPr>
            <w:r>
              <w:t>30/06/2021</w:t>
            </w:r>
          </w:p>
        </w:tc>
        <w:tc>
          <w:tcPr>
            <w:tcW w:w="1319" w:type="dxa"/>
            <w:vAlign w:val="center"/>
          </w:tcPr>
          <w:p w14:paraId="6D748DD9" w14:textId="77777777" w:rsidR="003F3EC7" w:rsidRDefault="003F3EC7" w:rsidP="00AF09BD">
            <w:pPr>
              <w:jc w:val="center"/>
            </w:pPr>
            <w:r>
              <w:t>0%</w:t>
            </w:r>
          </w:p>
        </w:tc>
      </w:tr>
      <w:tr w:rsidR="003F3EC7" w14:paraId="3CDF007B" w14:textId="77777777" w:rsidTr="00AF09BD">
        <w:tc>
          <w:tcPr>
            <w:tcW w:w="4531" w:type="dxa"/>
            <w:tcBorders>
              <w:bottom w:val="nil"/>
            </w:tcBorders>
            <w:vAlign w:val="center"/>
          </w:tcPr>
          <w:p w14:paraId="68259CBA" w14:textId="77777777" w:rsidR="003F3EC7" w:rsidRDefault="003F3EC7" w:rsidP="00AF09BD">
            <w:r w:rsidRPr="009E712A">
              <w:t>Presentación se resultados del 1 seguimiento de mapa de riesgos de corrupción y de gestión, al Comité Institucional de Gestión y Desempeño</w:t>
            </w:r>
            <w:r>
              <w:t>.</w:t>
            </w:r>
          </w:p>
        </w:tc>
        <w:tc>
          <w:tcPr>
            <w:tcW w:w="2127" w:type="dxa"/>
            <w:tcBorders>
              <w:bottom w:val="nil"/>
            </w:tcBorders>
            <w:vAlign w:val="center"/>
          </w:tcPr>
          <w:p w14:paraId="05FA77C5" w14:textId="77777777" w:rsidR="003F3EC7" w:rsidRDefault="003F3EC7" w:rsidP="00AF09BD">
            <w:pPr>
              <w:jc w:val="center"/>
            </w:pPr>
            <w:r>
              <w:t>OAP – Equipo MIPG</w:t>
            </w:r>
          </w:p>
        </w:tc>
        <w:tc>
          <w:tcPr>
            <w:tcW w:w="1417" w:type="dxa"/>
            <w:tcBorders>
              <w:bottom w:val="nil"/>
            </w:tcBorders>
            <w:vAlign w:val="center"/>
          </w:tcPr>
          <w:p w14:paraId="74D17F21" w14:textId="77777777" w:rsidR="003F3EC7" w:rsidRDefault="003F3EC7" w:rsidP="00AF09BD">
            <w:pPr>
              <w:jc w:val="center"/>
            </w:pPr>
            <w:r>
              <w:t>31/05/2021</w:t>
            </w:r>
          </w:p>
        </w:tc>
        <w:tc>
          <w:tcPr>
            <w:tcW w:w="1319" w:type="dxa"/>
            <w:tcBorders>
              <w:bottom w:val="nil"/>
            </w:tcBorders>
            <w:vAlign w:val="center"/>
          </w:tcPr>
          <w:p w14:paraId="24070888" w14:textId="77777777" w:rsidR="003F3EC7" w:rsidRDefault="003F3EC7" w:rsidP="00AF09BD">
            <w:pPr>
              <w:jc w:val="center"/>
            </w:pPr>
            <w:r>
              <w:t>0%</w:t>
            </w:r>
          </w:p>
        </w:tc>
      </w:tr>
    </w:tbl>
    <w:p w14:paraId="52223591" w14:textId="77777777" w:rsidR="003F3EC7" w:rsidRDefault="003F3EC7" w:rsidP="003F3EC7"/>
    <w:p w14:paraId="67F94A4B" w14:textId="056DCF13" w:rsidR="003F3EC7" w:rsidRPr="00DF2A6D" w:rsidRDefault="003F3EC7" w:rsidP="003F3EC7">
      <w:r>
        <w:t>Frente a este componente, las ejecución de las cuatro actividades relacionadas en el cuadro anterior dependen de la aprobación de la metodología para la administración del riesgo y este documento fue aprobado el 02 de septiembre por el Comité Institucional de Control Interno, por esta razón el proceso no pudo cumplir con las actividades en la fecha inicialmente establecida, no obstante lo anterior, se emite la alerta para que la Oficina Asesora de Planeación inicie el desarrollo de las actividades a fin de que se cumpla con las actividades antes del mes de noviembre del 2021</w:t>
      </w:r>
    </w:p>
    <w:p w14:paraId="48AD9AAC" w14:textId="5BB1578D" w:rsidR="003E2368" w:rsidRDefault="003E2368" w:rsidP="003E2368">
      <w:r w:rsidRPr="009E712A">
        <w:rPr>
          <w:b/>
        </w:rPr>
        <w:t>Componente 4 – Mecanismos para mejorar la atención al ciudadano.</w:t>
      </w:r>
    </w:p>
    <w:tbl>
      <w:tblPr>
        <w:tblStyle w:val="Tablaconcuadrcula"/>
        <w:tblW w:w="0" w:type="auto"/>
        <w:tblLook w:val="04A0" w:firstRow="1" w:lastRow="0" w:firstColumn="1" w:lastColumn="0" w:noHBand="0" w:noVBand="1"/>
      </w:tblPr>
      <w:tblGrid>
        <w:gridCol w:w="4531"/>
        <w:gridCol w:w="2127"/>
        <w:gridCol w:w="1417"/>
        <w:gridCol w:w="1319"/>
      </w:tblGrid>
      <w:tr w:rsidR="003E2368" w14:paraId="235652BA" w14:textId="77777777" w:rsidTr="00AF09BD">
        <w:trPr>
          <w:trHeight w:val="838"/>
        </w:trPr>
        <w:tc>
          <w:tcPr>
            <w:tcW w:w="4531" w:type="dxa"/>
            <w:vAlign w:val="center"/>
          </w:tcPr>
          <w:p w14:paraId="0B4E8F75" w14:textId="77777777" w:rsidR="003E2368" w:rsidRPr="007B163C" w:rsidRDefault="003E2368" w:rsidP="00AF09BD">
            <w:pPr>
              <w:jc w:val="center"/>
              <w:rPr>
                <w:b/>
              </w:rPr>
            </w:pPr>
            <w:r w:rsidRPr="007B163C">
              <w:rPr>
                <w:b/>
              </w:rPr>
              <w:t>Actividad</w:t>
            </w:r>
          </w:p>
        </w:tc>
        <w:tc>
          <w:tcPr>
            <w:tcW w:w="2127" w:type="dxa"/>
            <w:vAlign w:val="center"/>
          </w:tcPr>
          <w:p w14:paraId="5FE224B6" w14:textId="77777777" w:rsidR="003E2368" w:rsidRPr="007B163C" w:rsidRDefault="003E2368" w:rsidP="00AF09BD">
            <w:pPr>
              <w:jc w:val="center"/>
              <w:rPr>
                <w:b/>
              </w:rPr>
            </w:pPr>
            <w:r w:rsidRPr="007B163C">
              <w:rPr>
                <w:b/>
              </w:rPr>
              <w:t>Responsable</w:t>
            </w:r>
          </w:p>
        </w:tc>
        <w:tc>
          <w:tcPr>
            <w:tcW w:w="1417" w:type="dxa"/>
            <w:vAlign w:val="center"/>
          </w:tcPr>
          <w:p w14:paraId="01A75694" w14:textId="77777777" w:rsidR="003E2368" w:rsidRPr="007B163C" w:rsidRDefault="003E2368" w:rsidP="00AF09BD">
            <w:pPr>
              <w:jc w:val="center"/>
              <w:rPr>
                <w:b/>
              </w:rPr>
            </w:pPr>
            <w:r w:rsidRPr="007B163C">
              <w:rPr>
                <w:b/>
              </w:rPr>
              <w:t>Fecha programada</w:t>
            </w:r>
          </w:p>
        </w:tc>
        <w:tc>
          <w:tcPr>
            <w:tcW w:w="1319" w:type="dxa"/>
            <w:vAlign w:val="center"/>
          </w:tcPr>
          <w:p w14:paraId="0BB113EE" w14:textId="77777777" w:rsidR="003E2368" w:rsidRPr="007B163C" w:rsidRDefault="003E2368" w:rsidP="00AF09BD">
            <w:pPr>
              <w:jc w:val="center"/>
              <w:rPr>
                <w:b/>
              </w:rPr>
            </w:pPr>
            <w:r w:rsidRPr="007B163C">
              <w:rPr>
                <w:b/>
              </w:rPr>
              <w:t>% de avance</w:t>
            </w:r>
          </w:p>
        </w:tc>
      </w:tr>
      <w:tr w:rsidR="003E2368" w14:paraId="740E7623" w14:textId="77777777" w:rsidTr="00AF09BD">
        <w:trPr>
          <w:trHeight w:val="838"/>
        </w:trPr>
        <w:tc>
          <w:tcPr>
            <w:tcW w:w="4531" w:type="dxa"/>
            <w:vAlign w:val="center"/>
          </w:tcPr>
          <w:p w14:paraId="41B07091" w14:textId="77777777" w:rsidR="003E2368" w:rsidRDefault="003E2368" w:rsidP="00AF09BD">
            <w:r w:rsidRPr="009E712A">
              <w:t>Actualización de lineamientos para la elaboración del Plan Anticorrupción y Atención al ciudadano PAAC</w:t>
            </w:r>
            <w:r>
              <w:t>.</w:t>
            </w:r>
          </w:p>
        </w:tc>
        <w:tc>
          <w:tcPr>
            <w:tcW w:w="2127" w:type="dxa"/>
            <w:vAlign w:val="center"/>
          </w:tcPr>
          <w:p w14:paraId="28DB3558" w14:textId="77777777" w:rsidR="003E2368" w:rsidRDefault="003E2368" w:rsidP="00AF09BD">
            <w:pPr>
              <w:jc w:val="center"/>
            </w:pPr>
            <w:r>
              <w:t>OAP – Equipo MIPG</w:t>
            </w:r>
          </w:p>
        </w:tc>
        <w:tc>
          <w:tcPr>
            <w:tcW w:w="1417" w:type="dxa"/>
            <w:vAlign w:val="center"/>
          </w:tcPr>
          <w:p w14:paraId="7C9A37D9" w14:textId="77777777" w:rsidR="003E2368" w:rsidRDefault="003E2368" w:rsidP="00AF09BD">
            <w:pPr>
              <w:jc w:val="center"/>
            </w:pPr>
            <w:r>
              <w:t>30/06/2021</w:t>
            </w:r>
          </w:p>
        </w:tc>
        <w:tc>
          <w:tcPr>
            <w:tcW w:w="1319" w:type="dxa"/>
            <w:vAlign w:val="center"/>
          </w:tcPr>
          <w:p w14:paraId="435D7997" w14:textId="77777777" w:rsidR="003E2368" w:rsidRDefault="003E2368" w:rsidP="00AF09BD">
            <w:pPr>
              <w:jc w:val="center"/>
            </w:pPr>
            <w:r>
              <w:t>70%</w:t>
            </w:r>
          </w:p>
        </w:tc>
      </w:tr>
    </w:tbl>
    <w:p w14:paraId="69D70636" w14:textId="77777777" w:rsidR="003E2368" w:rsidRDefault="003E2368" w:rsidP="003E2368"/>
    <w:p w14:paraId="79163C3A" w14:textId="77777777" w:rsidR="003E2368" w:rsidRDefault="003E2368" w:rsidP="003E2368">
      <w:r>
        <w:t>Si bien el documento se encuentra avanzado en un 70% se genera la alarma con el fin de que el proceso realice las gestiones necesarias para terminar la actualización del documento antes del mes de noviembre de la presente vigencia</w:t>
      </w:r>
    </w:p>
    <w:p w14:paraId="319CBD7F" w14:textId="5A182869" w:rsidR="00DF2A6D" w:rsidRDefault="003E2368" w:rsidP="00DF2A6D">
      <w:r w:rsidRPr="009E712A">
        <w:rPr>
          <w:b/>
        </w:rPr>
        <w:t>Componente 6 – Mecanismos para la Transparencia y acceso a la información</w:t>
      </w:r>
    </w:p>
    <w:p w14:paraId="651E7F23" w14:textId="504A95BD" w:rsidR="00624870" w:rsidRPr="00624870" w:rsidRDefault="00624870" w:rsidP="00624870">
      <w:pPr>
        <w:jc w:val="center"/>
        <w:rPr>
          <w:b/>
          <w:sz w:val="18"/>
          <w:szCs w:val="18"/>
        </w:rPr>
      </w:pPr>
    </w:p>
    <w:tbl>
      <w:tblPr>
        <w:tblStyle w:val="Tablaconcuadrcula"/>
        <w:tblW w:w="0" w:type="auto"/>
        <w:tblLook w:val="04A0" w:firstRow="1" w:lastRow="0" w:firstColumn="1" w:lastColumn="0" w:noHBand="0" w:noVBand="1"/>
      </w:tblPr>
      <w:tblGrid>
        <w:gridCol w:w="4531"/>
        <w:gridCol w:w="2127"/>
        <w:gridCol w:w="1417"/>
        <w:gridCol w:w="1319"/>
      </w:tblGrid>
      <w:tr w:rsidR="00624870" w14:paraId="3D6541B8" w14:textId="77777777" w:rsidTr="009E712A">
        <w:tc>
          <w:tcPr>
            <w:tcW w:w="4531" w:type="dxa"/>
            <w:vAlign w:val="center"/>
          </w:tcPr>
          <w:p w14:paraId="51686F7D" w14:textId="77777777" w:rsidR="00624870" w:rsidRPr="007B163C" w:rsidRDefault="00624870" w:rsidP="00624870">
            <w:pPr>
              <w:jc w:val="center"/>
              <w:rPr>
                <w:b/>
              </w:rPr>
            </w:pPr>
            <w:r w:rsidRPr="007B163C">
              <w:rPr>
                <w:b/>
              </w:rPr>
              <w:t>Actividad</w:t>
            </w:r>
          </w:p>
        </w:tc>
        <w:tc>
          <w:tcPr>
            <w:tcW w:w="2127" w:type="dxa"/>
            <w:vAlign w:val="center"/>
          </w:tcPr>
          <w:p w14:paraId="2E89F2E4" w14:textId="77777777" w:rsidR="00624870" w:rsidRPr="007B163C" w:rsidRDefault="00624870" w:rsidP="00624870">
            <w:pPr>
              <w:jc w:val="center"/>
              <w:rPr>
                <w:b/>
              </w:rPr>
            </w:pPr>
            <w:r w:rsidRPr="007B163C">
              <w:rPr>
                <w:b/>
              </w:rPr>
              <w:t>Responsable</w:t>
            </w:r>
          </w:p>
        </w:tc>
        <w:tc>
          <w:tcPr>
            <w:tcW w:w="1417" w:type="dxa"/>
            <w:vAlign w:val="center"/>
          </w:tcPr>
          <w:p w14:paraId="7D37DE8E" w14:textId="77777777" w:rsidR="00624870" w:rsidRPr="007B163C" w:rsidRDefault="00624870" w:rsidP="00624870">
            <w:pPr>
              <w:jc w:val="center"/>
              <w:rPr>
                <w:b/>
              </w:rPr>
            </w:pPr>
            <w:r w:rsidRPr="007B163C">
              <w:rPr>
                <w:b/>
              </w:rPr>
              <w:t>Fecha programada</w:t>
            </w:r>
          </w:p>
        </w:tc>
        <w:tc>
          <w:tcPr>
            <w:tcW w:w="1319" w:type="dxa"/>
            <w:vAlign w:val="center"/>
          </w:tcPr>
          <w:p w14:paraId="6361E399" w14:textId="77777777" w:rsidR="00624870" w:rsidRPr="007B163C" w:rsidRDefault="00624870" w:rsidP="00624870">
            <w:pPr>
              <w:jc w:val="center"/>
              <w:rPr>
                <w:b/>
              </w:rPr>
            </w:pPr>
            <w:r w:rsidRPr="007B163C">
              <w:rPr>
                <w:b/>
              </w:rPr>
              <w:t>% de avance</w:t>
            </w:r>
          </w:p>
        </w:tc>
      </w:tr>
      <w:tr w:rsidR="00624870" w14:paraId="4732D8A2" w14:textId="77777777" w:rsidTr="009E712A">
        <w:tc>
          <w:tcPr>
            <w:tcW w:w="4531" w:type="dxa"/>
            <w:vAlign w:val="center"/>
          </w:tcPr>
          <w:p w14:paraId="70970137" w14:textId="77777777" w:rsidR="00624870" w:rsidRDefault="00624870" w:rsidP="00624870">
            <w:r w:rsidRPr="009E712A">
              <w:t>Desarrollar campaña de comunicaciones para invitar a la ciudadanía a organizarse y proponer soluciones a problemas colectivos relacionados con la mitigación del Covid-19 y la reactivación económica a través de la plataforma Bogotá Abierta</w:t>
            </w:r>
          </w:p>
        </w:tc>
        <w:tc>
          <w:tcPr>
            <w:tcW w:w="2127" w:type="dxa"/>
            <w:vAlign w:val="center"/>
          </w:tcPr>
          <w:p w14:paraId="6C167EDC" w14:textId="77777777" w:rsidR="00624870" w:rsidRDefault="00624870" w:rsidP="00624870">
            <w:pPr>
              <w:jc w:val="center"/>
            </w:pPr>
            <w:r>
              <w:t>Comunicaciones</w:t>
            </w:r>
          </w:p>
        </w:tc>
        <w:tc>
          <w:tcPr>
            <w:tcW w:w="1417" w:type="dxa"/>
            <w:vAlign w:val="center"/>
          </w:tcPr>
          <w:p w14:paraId="360D9CB5" w14:textId="77777777" w:rsidR="00624870" w:rsidRDefault="00624870" w:rsidP="00624870">
            <w:pPr>
              <w:jc w:val="center"/>
            </w:pPr>
            <w:r>
              <w:t>30/05/2021</w:t>
            </w:r>
          </w:p>
        </w:tc>
        <w:tc>
          <w:tcPr>
            <w:tcW w:w="1319" w:type="dxa"/>
            <w:vAlign w:val="center"/>
          </w:tcPr>
          <w:p w14:paraId="43419D0D" w14:textId="77777777" w:rsidR="00624870" w:rsidRDefault="00624870" w:rsidP="00624870">
            <w:pPr>
              <w:jc w:val="center"/>
            </w:pPr>
            <w:r>
              <w:t>50%</w:t>
            </w:r>
          </w:p>
        </w:tc>
      </w:tr>
      <w:tr w:rsidR="00624870" w14:paraId="6C82227B" w14:textId="77777777" w:rsidTr="009E712A">
        <w:tc>
          <w:tcPr>
            <w:tcW w:w="4531" w:type="dxa"/>
            <w:vAlign w:val="center"/>
          </w:tcPr>
          <w:p w14:paraId="04ADA1B0" w14:textId="77777777" w:rsidR="00624870" w:rsidRDefault="00624870" w:rsidP="00624870">
            <w:r w:rsidRPr="009E712A">
              <w:t xml:space="preserve">Actualizar y publicar en el </w:t>
            </w:r>
            <w:proofErr w:type="gramStart"/>
            <w:r w:rsidRPr="009E712A">
              <w:t>link</w:t>
            </w:r>
            <w:proofErr w:type="gramEnd"/>
            <w:r w:rsidRPr="009E712A">
              <w:t xml:space="preserve"> de transparencia de la página web del Instituto información relacionada con la caracterización de grupos valor atendidos en el Instituto</w:t>
            </w:r>
          </w:p>
        </w:tc>
        <w:tc>
          <w:tcPr>
            <w:tcW w:w="2127" w:type="dxa"/>
            <w:vAlign w:val="center"/>
          </w:tcPr>
          <w:p w14:paraId="14208075" w14:textId="77777777" w:rsidR="00624870" w:rsidRDefault="00624870" w:rsidP="00624870">
            <w:pPr>
              <w:jc w:val="center"/>
            </w:pPr>
            <w:r>
              <w:t>Participación ciudadana – SIMI - Métodos</w:t>
            </w:r>
          </w:p>
        </w:tc>
        <w:tc>
          <w:tcPr>
            <w:tcW w:w="1417" w:type="dxa"/>
            <w:vAlign w:val="center"/>
          </w:tcPr>
          <w:p w14:paraId="3DECBFBA" w14:textId="77777777" w:rsidR="00624870" w:rsidRDefault="00624870" w:rsidP="00624870">
            <w:pPr>
              <w:jc w:val="center"/>
            </w:pPr>
            <w:r>
              <w:t>31/05/2021</w:t>
            </w:r>
          </w:p>
        </w:tc>
        <w:tc>
          <w:tcPr>
            <w:tcW w:w="1319" w:type="dxa"/>
            <w:vAlign w:val="center"/>
          </w:tcPr>
          <w:p w14:paraId="3E841764" w14:textId="77777777" w:rsidR="00624870" w:rsidRDefault="00624870" w:rsidP="00624870">
            <w:pPr>
              <w:jc w:val="center"/>
            </w:pPr>
            <w:r>
              <w:t>30%</w:t>
            </w:r>
          </w:p>
        </w:tc>
      </w:tr>
      <w:tr w:rsidR="00624870" w14:paraId="5C86748E" w14:textId="77777777" w:rsidTr="009E712A">
        <w:tc>
          <w:tcPr>
            <w:tcW w:w="4531" w:type="dxa"/>
            <w:vAlign w:val="center"/>
          </w:tcPr>
          <w:p w14:paraId="5771A9A4" w14:textId="77777777" w:rsidR="00624870" w:rsidRDefault="00624870" w:rsidP="00624870">
            <w:r w:rsidRPr="00624870">
              <w:t xml:space="preserve">Implementación de la Apertura de agendas - Fase </w:t>
            </w:r>
            <w:proofErr w:type="gramStart"/>
            <w:r w:rsidRPr="00624870">
              <w:t>1 :</w:t>
            </w:r>
            <w:proofErr w:type="gramEnd"/>
            <w:r w:rsidRPr="00624870">
              <w:t xml:space="preserve"> Publicación de agendas para consultas libre</w:t>
            </w:r>
            <w:r>
              <w:t>.</w:t>
            </w:r>
          </w:p>
        </w:tc>
        <w:tc>
          <w:tcPr>
            <w:tcW w:w="2127" w:type="dxa"/>
            <w:vAlign w:val="center"/>
          </w:tcPr>
          <w:p w14:paraId="3E85D437" w14:textId="77777777" w:rsidR="00624870" w:rsidRDefault="00624870" w:rsidP="00624870">
            <w:pPr>
              <w:jc w:val="center"/>
            </w:pPr>
            <w:r>
              <w:t>OAP – Equipo MIPG</w:t>
            </w:r>
          </w:p>
        </w:tc>
        <w:tc>
          <w:tcPr>
            <w:tcW w:w="1417" w:type="dxa"/>
            <w:vAlign w:val="center"/>
          </w:tcPr>
          <w:p w14:paraId="2F2B2171" w14:textId="77777777" w:rsidR="00624870" w:rsidRDefault="00624870" w:rsidP="00624870">
            <w:pPr>
              <w:jc w:val="center"/>
            </w:pPr>
            <w:r>
              <w:t>15/05/2021</w:t>
            </w:r>
          </w:p>
        </w:tc>
        <w:tc>
          <w:tcPr>
            <w:tcW w:w="1319" w:type="dxa"/>
            <w:vAlign w:val="center"/>
          </w:tcPr>
          <w:p w14:paraId="24AEAF43" w14:textId="77777777" w:rsidR="00624870" w:rsidRDefault="00624870" w:rsidP="00624870">
            <w:pPr>
              <w:jc w:val="center"/>
            </w:pPr>
            <w:r>
              <w:t>90%</w:t>
            </w:r>
          </w:p>
        </w:tc>
      </w:tr>
      <w:tr w:rsidR="00624870" w14:paraId="0EA9CCBD" w14:textId="77777777" w:rsidTr="009E712A">
        <w:tc>
          <w:tcPr>
            <w:tcW w:w="4531" w:type="dxa"/>
            <w:vAlign w:val="center"/>
          </w:tcPr>
          <w:p w14:paraId="2D3255E9" w14:textId="77777777" w:rsidR="00624870" w:rsidRDefault="00624870" w:rsidP="00624870">
            <w:r w:rsidRPr="00624870">
              <w:t xml:space="preserve">Registrar, publicar y/o actualizar los activos de información de los estudios, asesorías, consultorías, investigaciones, que se realicen de </w:t>
            </w:r>
            <w:r w:rsidRPr="00624870">
              <w:lastRenderedPageBreak/>
              <w:t xml:space="preserve">manera </w:t>
            </w:r>
            <w:proofErr w:type="gramStart"/>
            <w:r w:rsidRPr="00624870">
              <w:t>directa  o</w:t>
            </w:r>
            <w:proofErr w:type="gramEnd"/>
            <w:r w:rsidRPr="00624870">
              <w:t xml:space="preserve"> que sean contratados, a través de su inclusión en el Registro Distrital de Publicaciones Técnicas y los conjuntos de datos abiertos sobre información estratégica en el marco de la misionalidad de la entidad</w:t>
            </w:r>
            <w:r>
              <w:t>.</w:t>
            </w:r>
          </w:p>
        </w:tc>
        <w:tc>
          <w:tcPr>
            <w:tcW w:w="2127" w:type="dxa"/>
            <w:vAlign w:val="center"/>
          </w:tcPr>
          <w:p w14:paraId="7F169BD0" w14:textId="77777777" w:rsidR="00624870" w:rsidRDefault="00624870" w:rsidP="00624870">
            <w:pPr>
              <w:jc w:val="center"/>
            </w:pPr>
            <w:r>
              <w:lastRenderedPageBreak/>
              <w:t>Investigaciones - Comunicaciones</w:t>
            </w:r>
          </w:p>
        </w:tc>
        <w:tc>
          <w:tcPr>
            <w:tcW w:w="1417" w:type="dxa"/>
            <w:vAlign w:val="center"/>
          </w:tcPr>
          <w:p w14:paraId="21648867" w14:textId="77777777" w:rsidR="00624870" w:rsidRDefault="00624870" w:rsidP="00624870">
            <w:pPr>
              <w:jc w:val="center"/>
            </w:pPr>
            <w:r>
              <w:t>30/08/2021</w:t>
            </w:r>
          </w:p>
        </w:tc>
        <w:tc>
          <w:tcPr>
            <w:tcW w:w="1319" w:type="dxa"/>
            <w:vAlign w:val="center"/>
          </w:tcPr>
          <w:p w14:paraId="28D1AB6A" w14:textId="77777777" w:rsidR="00624870" w:rsidRDefault="00624870" w:rsidP="00624870">
            <w:pPr>
              <w:jc w:val="center"/>
            </w:pPr>
            <w:r>
              <w:t>0%</w:t>
            </w:r>
          </w:p>
        </w:tc>
      </w:tr>
      <w:tr w:rsidR="00624870" w14:paraId="374A6BA5" w14:textId="77777777" w:rsidTr="009E712A">
        <w:tc>
          <w:tcPr>
            <w:tcW w:w="4531" w:type="dxa"/>
            <w:vAlign w:val="center"/>
          </w:tcPr>
          <w:p w14:paraId="23203039" w14:textId="77777777" w:rsidR="00624870" w:rsidRDefault="00624870" w:rsidP="00624870">
            <w:r w:rsidRPr="00624870">
              <w:t>Elaborar videos en idioma inglés y francés para socializar la misión y la visión del IDIPRON</w:t>
            </w:r>
          </w:p>
        </w:tc>
        <w:tc>
          <w:tcPr>
            <w:tcW w:w="2127" w:type="dxa"/>
            <w:vAlign w:val="center"/>
          </w:tcPr>
          <w:p w14:paraId="24E6D213" w14:textId="77777777" w:rsidR="00624870" w:rsidRDefault="00624870" w:rsidP="00624870">
            <w:pPr>
              <w:jc w:val="center"/>
            </w:pPr>
            <w:r w:rsidRPr="00624870">
              <w:t>Comunicaciones - Equipo MIPG - Políticas publicas</w:t>
            </w:r>
          </w:p>
        </w:tc>
        <w:tc>
          <w:tcPr>
            <w:tcW w:w="1417" w:type="dxa"/>
            <w:vAlign w:val="center"/>
          </w:tcPr>
          <w:p w14:paraId="4615F4CD" w14:textId="77777777" w:rsidR="00624870" w:rsidRDefault="00624870" w:rsidP="00624870">
            <w:pPr>
              <w:jc w:val="center"/>
            </w:pPr>
            <w:r>
              <w:t>30/06/2021</w:t>
            </w:r>
          </w:p>
        </w:tc>
        <w:tc>
          <w:tcPr>
            <w:tcW w:w="1319" w:type="dxa"/>
            <w:vAlign w:val="center"/>
          </w:tcPr>
          <w:p w14:paraId="535D2467" w14:textId="77777777" w:rsidR="00624870" w:rsidRDefault="00624870" w:rsidP="00624870">
            <w:pPr>
              <w:jc w:val="center"/>
            </w:pPr>
            <w:r>
              <w:t>50%</w:t>
            </w:r>
          </w:p>
        </w:tc>
      </w:tr>
    </w:tbl>
    <w:p w14:paraId="3D1065D1" w14:textId="77777777" w:rsidR="001060FA" w:rsidRDefault="001060FA" w:rsidP="00DF2A6D"/>
    <w:p w14:paraId="391EEAB4" w14:textId="77777777" w:rsidR="00DF2A6D" w:rsidRDefault="00624870" w:rsidP="00DF2A6D">
      <w:r>
        <w:t>Es necesario que los procesos responsables realicen las gestiones necesarias para dar cumplimiento al 100% a las actividades detalladas en el cuadro anterior antes de terminar el mes de noviembre del 2021.</w:t>
      </w:r>
    </w:p>
    <w:p w14:paraId="721EC4D1" w14:textId="77777777" w:rsidR="00396166" w:rsidRDefault="00396166" w:rsidP="00DF2A6D"/>
    <w:p w14:paraId="2171866E" w14:textId="77777777" w:rsidR="008C3885" w:rsidRDefault="00A467C6" w:rsidP="00A467C6">
      <w:pPr>
        <w:pStyle w:val="Ttulo1"/>
        <w:numPr>
          <w:ilvl w:val="1"/>
          <w:numId w:val="1"/>
        </w:numPr>
        <w:ind w:left="426" w:hanging="426"/>
      </w:pPr>
      <w:r>
        <w:t>AVANCE DEL PAAC</w:t>
      </w:r>
    </w:p>
    <w:p w14:paraId="1B3EF138" w14:textId="77777777" w:rsidR="00A467C6" w:rsidRDefault="00A467C6" w:rsidP="00A467C6"/>
    <w:p w14:paraId="58B8C137" w14:textId="77777777" w:rsidR="00A467C6" w:rsidRDefault="00936E69" w:rsidP="00A467C6">
      <w:r>
        <w:t xml:space="preserve">Frente al total de las actividades programadas (94) para la vigencia 2021 en el Plan Anticorrupción y Atención al Ciudadano, para el segundo cuatrimestre se </w:t>
      </w:r>
      <w:r w:rsidR="00AB1613">
        <w:t>presentó</w:t>
      </w:r>
      <w:r>
        <w:t xml:space="preserve"> un avance </w:t>
      </w:r>
      <w:r w:rsidR="00890573">
        <w:t xml:space="preserve">del </w:t>
      </w:r>
      <w:r w:rsidR="00890573" w:rsidRPr="00890573">
        <w:rPr>
          <w:b/>
        </w:rPr>
        <w:t>55%</w:t>
      </w:r>
      <w:r w:rsidR="00AB1613" w:rsidRPr="00890573">
        <w:rPr>
          <w:b/>
        </w:rPr>
        <w:t>,</w:t>
      </w:r>
      <w:r w:rsidR="00AB1613">
        <w:t xml:space="preserve"> porcentaje que se encuentra </w:t>
      </w:r>
      <w:r w:rsidR="00890573">
        <w:t>por encima del que se esperaba cumplir al 31 de agosto.</w:t>
      </w:r>
    </w:p>
    <w:p w14:paraId="42D94CF2" w14:textId="77777777" w:rsidR="00890573" w:rsidRDefault="00890573" w:rsidP="00A467C6">
      <w:r>
        <w:t>Por componentes el avance es el siguiente:</w:t>
      </w:r>
    </w:p>
    <w:p w14:paraId="2569C452" w14:textId="77777777" w:rsidR="00890573" w:rsidRDefault="00890573" w:rsidP="00A467C6"/>
    <w:p w14:paraId="659D408C" w14:textId="77777777" w:rsidR="00890573" w:rsidRDefault="00BF658E" w:rsidP="00890573">
      <w:pPr>
        <w:jc w:val="center"/>
      </w:pPr>
      <w:r>
        <w:rPr>
          <w:noProof/>
          <w:lang w:eastAsia="es-CO"/>
        </w:rPr>
        <w:drawing>
          <wp:inline distT="0" distB="0" distL="0" distR="0" wp14:anchorId="763CE0C1" wp14:editId="18874FFD">
            <wp:extent cx="3847722" cy="2305668"/>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1690" cy="2314038"/>
                    </a:xfrm>
                    <a:prstGeom prst="rect">
                      <a:avLst/>
                    </a:prstGeom>
                  </pic:spPr>
                </pic:pic>
              </a:graphicData>
            </a:graphic>
          </wp:inline>
        </w:drawing>
      </w:r>
    </w:p>
    <w:p w14:paraId="5CC234FE" w14:textId="77777777" w:rsidR="00BF658E" w:rsidRDefault="00BF658E" w:rsidP="00A467C6"/>
    <w:p w14:paraId="2177D0F6" w14:textId="77777777" w:rsidR="00AB1613" w:rsidRDefault="00D85C75" w:rsidP="00A467C6">
      <w:r>
        <w:t xml:space="preserve">Tomando como referencia el porcentaje de avance esperado para este segundo cuatrimestre, podemos observar que se sobrepasó la meta establecida para </w:t>
      </w:r>
      <w:r w:rsidR="00BF658E">
        <w:t>el</w:t>
      </w:r>
      <w:r>
        <w:t xml:space="preserve"> segundo cuatrimestre.</w:t>
      </w:r>
    </w:p>
    <w:p w14:paraId="0C983B4C" w14:textId="77777777" w:rsidR="00BF658E" w:rsidRDefault="00BF658E" w:rsidP="00BF658E">
      <w:pPr>
        <w:jc w:val="center"/>
      </w:pPr>
      <w:r>
        <w:rPr>
          <w:noProof/>
          <w:lang w:eastAsia="es-CO"/>
        </w:rPr>
        <w:lastRenderedPageBreak/>
        <w:drawing>
          <wp:inline distT="0" distB="0" distL="0" distR="0" wp14:anchorId="1A146AC3" wp14:editId="1C508A1E">
            <wp:extent cx="4114800" cy="2314136"/>
            <wp:effectExtent l="0" t="0" r="0" b="1016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113766" w14:textId="77777777" w:rsidR="003314A9" w:rsidRPr="00A467C6" w:rsidRDefault="003314A9" w:rsidP="00A467C6"/>
    <w:p w14:paraId="0887004D" w14:textId="77777777" w:rsidR="00624870" w:rsidRDefault="00396166" w:rsidP="00396166">
      <w:pPr>
        <w:pStyle w:val="Ttulo1"/>
        <w:numPr>
          <w:ilvl w:val="0"/>
          <w:numId w:val="1"/>
        </w:numPr>
        <w:ind w:left="284" w:hanging="284"/>
      </w:pPr>
      <w:r>
        <w:t>OBSERVACIONES</w:t>
      </w:r>
    </w:p>
    <w:p w14:paraId="3E233EF3" w14:textId="77777777" w:rsidR="00624870" w:rsidRDefault="00624870" w:rsidP="00DF2A6D"/>
    <w:p w14:paraId="6932B3DC" w14:textId="32FAB3A7" w:rsidR="00396166" w:rsidRDefault="007F3658" w:rsidP="00DF2A6D">
      <w:r>
        <w:t>De acuerdo con</w:t>
      </w:r>
      <w:r w:rsidR="00E52D28">
        <w:t xml:space="preserve"> la reunión</w:t>
      </w:r>
      <w:r w:rsidR="00396166">
        <w:t xml:space="preserve"> de Gobierno Abierto</w:t>
      </w:r>
      <w:r w:rsidR="00E52D28">
        <w:t xml:space="preserve"> de Bogotá, realizada por</w:t>
      </w:r>
      <w:r w:rsidR="00396166">
        <w:t xml:space="preserve"> la Secretaría de Gobierno y el IDIPRON, desde la Oficina Ase</w:t>
      </w:r>
      <w:r w:rsidR="00E52D28">
        <w:t>sora de Planeación se prese</w:t>
      </w:r>
      <w:r w:rsidR="001B5608">
        <w:t>ntaron inquietudes con base a algunas</w:t>
      </w:r>
      <w:r w:rsidR="00E52D28">
        <w:t xml:space="preserve"> actividades planteadas en el Plan </w:t>
      </w:r>
      <w:r w:rsidR="007A2000">
        <w:t>Anticorrupción</w:t>
      </w:r>
      <w:r w:rsidR="00E52D28">
        <w:t xml:space="preserve"> y Atención al Ciudadano –</w:t>
      </w:r>
      <w:r w:rsidR="001B5608">
        <w:t xml:space="preserve"> PAAC </w:t>
      </w:r>
      <w:r>
        <w:t>de acuerdo con</w:t>
      </w:r>
      <w:r w:rsidR="001B5608">
        <w:t xml:space="preserve"> la Directiva 005 del 2020 “</w:t>
      </w:r>
      <w:r w:rsidR="001B5608" w:rsidRPr="001B5608">
        <w:t>DIRECTRICES SOBRE GOBIERNO ABIERTO DE BOGOTA”</w:t>
      </w:r>
      <w:r w:rsidR="001B5608">
        <w:t>.</w:t>
      </w:r>
    </w:p>
    <w:p w14:paraId="592AF8FB" w14:textId="7860F7CD" w:rsidR="001B5608" w:rsidRDefault="003E2368" w:rsidP="00DF2A6D">
      <w:r>
        <w:t>De acuerdo con</w:t>
      </w:r>
      <w:r w:rsidR="001B5608">
        <w:t xml:space="preserve"> la reunión mencionada anteriormente se solicita al Comité Institucional de Desempeño que se eliminen las siguientes actividades ya que desde la Secretaría de Gobierno se manifiesta que aún no existen lineamientos para implementarlas. </w:t>
      </w:r>
      <w:r>
        <w:t xml:space="preserve">No </w:t>
      </w:r>
      <w:r w:rsidR="001318DB">
        <w:t>obstante,</w:t>
      </w:r>
      <w:r>
        <w:t xml:space="preserve"> lo anterior, una vez se emitan las directrices por parte de las entidades líderes de Gobierno Abierto, las acciones se incluirán en el PAAC</w:t>
      </w:r>
    </w:p>
    <w:p w14:paraId="609E8AE6" w14:textId="77777777" w:rsidR="001B5608" w:rsidRDefault="001B5608" w:rsidP="00DF2A6D">
      <w:r>
        <w:t>A continuación, se presentan las actividades que se solicita eliminar:</w:t>
      </w:r>
    </w:p>
    <w:tbl>
      <w:tblPr>
        <w:tblStyle w:val="Tablaconcuadrcula"/>
        <w:tblW w:w="0" w:type="auto"/>
        <w:tblLook w:val="04A0" w:firstRow="1" w:lastRow="0" w:firstColumn="1" w:lastColumn="0" w:noHBand="0" w:noVBand="1"/>
      </w:tblPr>
      <w:tblGrid>
        <w:gridCol w:w="6232"/>
        <w:gridCol w:w="3162"/>
      </w:tblGrid>
      <w:tr w:rsidR="001B5608" w14:paraId="0D8F7B92" w14:textId="77777777" w:rsidTr="001B5608">
        <w:tc>
          <w:tcPr>
            <w:tcW w:w="9394" w:type="dxa"/>
            <w:gridSpan w:val="2"/>
            <w:vAlign w:val="center"/>
          </w:tcPr>
          <w:p w14:paraId="64438699" w14:textId="77777777" w:rsidR="001B5608" w:rsidRPr="001B5608" w:rsidRDefault="001B5608" w:rsidP="001B5608">
            <w:pPr>
              <w:jc w:val="center"/>
              <w:rPr>
                <w:b/>
              </w:rPr>
            </w:pPr>
            <w:r w:rsidRPr="001B5608">
              <w:rPr>
                <w:b/>
              </w:rPr>
              <w:t>COMPONENTE 5: MECANISMOS PARA LA TRANSPARENCIA Y ACCESO A LA INFORMACIÓN</w:t>
            </w:r>
          </w:p>
        </w:tc>
      </w:tr>
      <w:tr w:rsidR="001B5608" w14:paraId="142C9757" w14:textId="77777777" w:rsidTr="001B5608">
        <w:tc>
          <w:tcPr>
            <w:tcW w:w="6232" w:type="dxa"/>
            <w:vAlign w:val="center"/>
          </w:tcPr>
          <w:p w14:paraId="5484374D" w14:textId="77777777" w:rsidR="001B5608" w:rsidRPr="001B5608" w:rsidRDefault="001B5608" w:rsidP="001B5608">
            <w:pPr>
              <w:jc w:val="center"/>
              <w:rPr>
                <w:b/>
              </w:rPr>
            </w:pPr>
            <w:r w:rsidRPr="001B5608">
              <w:rPr>
                <w:b/>
              </w:rPr>
              <w:t>Actividad</w:t>
            </w:r>
          </w:p>
        </w:tc>
        <w:tc>
          <w:tcPr>
            <w:tcW w:w="3162" w:type="dxa"/>
            <w:vAlign w:val="center"/>
          </w:tcPr>
          <w:p w14:paraId="6F4A65B4" w14:textId="77777777" w:rsidR="001B5608" w:rsidRPr="001B5608" w:rsidRDefault="001B5608" w:rsidP="001B5608">
            <w:pPr>
              <w:jc w:val="center"/>
              <w:rPr>
                <w:b/>
              </w:rPr>
            </w:pPr>
            <w:r w:rsidRPr="001B5608">
              <w:rPr>
                <w:b/>
              </w:rPr>
              <w:t>Responsable</w:t>
            </w:r>
          </w:p>
        </w:tc>
      </w:tr>
      <w:tr w:rsidR="009B4A30" w14:paraId="42351486" w14:textId="77777777" w:rsidTr="001B5608">
        <w:tc>
          <w:tcPr>
            <w:tcW w:w="6232" w:type="dxa"/>
            <w:vAlign w:val="center"/>
          </w:tcPr>
          <w:p w14:paraId="1CB2BC1E" w14:textId="7332E11E" w:rsidR="009B4A30" w:rsidRPr="001B5608" w:rsidRDefault="009B4A30" w:rsidP="009B4A30">
            <w:pPr>
              <w:rPr>
                <w:b/>
              </w:rPr>
            </w:pPr>
            <w:r>
              <w:t xml:space="preserve">Actividad 1.5: </w:t>
            </w:r>
            <w:r w:rsidRPr="00A20175">
              <w:t>Propiciar y gestionar la conformación de comunidades de aprovechamientos de datos abiertos a través de sus funcionarios y grupos de interés</w:t>
            </w:r>
          </w:p>
        </w:tc>
        <w:tc>
          <w:tcPr>
            <w:tcW w:w="3162" w:type="dxa"/>
            <w:vAlign w:val="center"/>
          </w:tcPr>
          <w:p w14:paraId="0FE79468" w14:textId="01F33450" w:rsidR="009B4A30" w:rsidRPr="001B5608" w:rsidRDefault="009B4A30" w:rsidP="009B4A30">
            <w:pPr>
              <w:jc w:val="center"/>
              <w:rPr>
                <w:b/>
              </w:rPr>
            </w:pPr>
            <w:r>
              <w:t>Sistemas - OAP</w:t>
            </w:r>
          </w:p>
        </w:tc>
      </w:tr>
      <w:tr w:rsidR="009B4A30" w14:paraId="7EE91F2B" w14:textId="77777777" w:rsidTr="001B5608">
        <w:tc>
          <w:tcPr>
            <w:tcW w:w="6232" w:type="dxa"/>
            <w:vAlign w:val="center"/>
          </w:tcPr>
          <w:p w14:paraId="20DD5066" w14:textId="057D4B7D" w:rsidR="009B4A30" w:rsidRPr="001B5608" w:rsidRDefault="009B4A30" w:rsidP="009B4A30">
            <w:pPr>
              <w:rPr>
                <w:b/>
              </w:rPr>
            </w:pPr>
            <w:r w:rsidRPr="009B4A30">
              <w:t xml:space="preserve">1.11: Realizar dos ejercicios de aprovechamiento de datos abiertos que contribuyan a mejorar productos o servicios, fortalecer la rendición de cuentas, mejorar la participación ciudadana y/o fomentar la innovación pública por parte de </w:t>
            </w:r>
            <w:r>
              <w:t>l</w:t>
            </w:r>
            <w:r w:rsidRPr="009B4A30">
              <w:t>a entidad</w:t>
            </w:r>
          </w:p>
        </w:tc>
        <w:tc>
          <w:tcPr>
            <w:tcW w:w="3162" w:type="dxa"/>
            <w:vAlign w:val="center"/>
          </w:tcPr>
          <w:p w14:paraId="656215BF" w14:textId="5DA1724F" w:rsidR="009B4A30" w:rsidRPr="001B5608" w:rsidRDefault="009B4A30" w:rsidP="009B4A30">
            <w:pPr>
              <w:jc w:val="center"/>
              <w:rPr>
                <w:b/>
              </w:rPr>
            </w:pPr>
            <w:r w:rsidRPr="009B4A30">
              <w:t>Área de Sistemas - Participación Ciudadana</w:t>
            </w:r>
          </w:p>
        </w:tc>
      </w:tr>
      <w:tr w:rsidR="009B4A30" w14:paraId="688BA03D" w14:textId="77777777" w:rsidTr="001B5608">
        <w:tc>
          <w:tcPr>
            <w:tcW w:w="6232" w:type="dxa"/>
            <w:vAlign w:val="center"/>
          </w:tcPr>
          <w:p w14:paraId="0DB69C48" w14:textId="706B41EC" w:rsidR="009B4A30" w:rsidRDefault="009B4A30" w:rsidP="009B4A30">
            <w:r>
              <w:t xml:space="preserve">Actividad 1.17: </w:t>
            </w:r>
            <w:r w:rsidRPr="001B5608">
              <w:t>Realizar la publicación de las convocatorias a los grupos de interés de la fecha, hora, orden del día y canal de reunión del Comité Directivo</w:t>
            </w:r>
            <w:r>
              <w:t>.</w:t>
            </w:r>
          </w:p>
        </w:tc>
        <w:tc>
          <w:tcPr>
            <w:tcW w:w="3162" w:type="dxa"/>
            <w:vAlign w:val="center"/>
          </w:tcPr>
          <w:p w14:paraId="3196280F" w14:textId="77777777" w:rsidR="009B4A30" w:rsidRDefault="009B4A30" w:rsidP="009B4A30">
            <w:pPr>
              <w:jc w:val="center"/>
            </w:pPr>
            <w:r>
              <w:t>Comunicaciones</w:t>
            </w:r>
          </w:p>
        </w:tc>
      </w:tr>
      <w:tr w:rsidR="009B4A30" w14:paraId="30BACF35" w14:textId="77777777" w:rsidTr="001B5608">
        <w:tc>
          <w:tcPr>
            <w:tcW w:w="6232" w:type="dxa"/>
            <w:vAlign w:val="center"/>
          </w:tcPr>
          <w:p w14:paraId="4F8F275D" w14:textId="77777777" w:rsidR="009B4A30" w:rsidRDefault="009B4A30" w:rsidP="009B4A30">
            <w:r>
              <w:t xml:space="preserve">Actividad 1.18: </w:t>
            </w:r>
            <w:r w:rsidRPr="001B5608">
              <w:t>Realizar la grabación y transmisión de las reuniones o sesiones del Comité Directivo</w:t>
            </w:r>
            <w:r>
              <w:t>.</w:t>
            </w:r>
          </w:p>
        </w:tc>
        <w:tc>
          <w:tcPr>
            <w:tcW w:w="3162" w:type="dxa"/>
            <w:vAlign w:val="center"/>
          </w:tcPr>
          <w:p w14:paraId="41E60782" w14:textId="77777777" w:rsidR="009B4A30" w:rsidRDefault="009B4A30" w:rsidP="009B4A30">
            <w:pPr>
              <w:jc w:val="center"/>
            </w:pPr>
            <w:r>
              <w:t>Comunicaciones</w:t>
            </w:r>
          </w:p>
        </w:tc>
      </w:tr>
      <w:tr w:rsidR="009B4A30" w14:paraId="5CD1664F" w14:textId="77777777" w:rsidTr="001B5608">
        <w:tc>
          <w:tcPr>
            <w:tcW w:w="6232" w:type="dxa"/>
            <w:vAlign w:val="center"/>
          </w:tcPr>
          <w:p w14:paraId="09ABFAF3" w14:textId="77777777" w:rsidR="009B4A30" w:rsidRDefault="009B4A30" w:rsidP="009B4A30">
            <w:r>
              <w:t xml:space="preserve">Actividad 1.19: </w:t>
            </w:r>
            <w:r w:rsidRPr="008C3885">
              <w:t>Publicar las principales decisiones y conclusiones de la reunión del Comité Directivo en página web y redes sociales</w:t>
            </w:r>
            <w:r>
              <w:t>.</w:t>
            </w:r>
          </w:p>
        </w:tc>
        <w:tc>
          <w:tcPr>
            <w:tcW w:w="3162" w:type="dxa"/>
            <w:vAlign w:val="center"/>
          </w:tcPr>
          <w:p w14:paraId="25C6F5D3" w14:textId="77777777" w:rsidR="009B4A30" w:rsidRDefault="009B4A30" w:rsidP="009B4A30">
            <w:pPr>
              <w:jc w:val="center"/>
            </w:pPr>
            <w:r>
              <w:t>Comunicaciones</w:t>
            </w:r>
          </w:p>
        </w:tc>
      </w:tr>
      <w:tr w:rsidR="009B4A30" w14:paraId="0BB8D728" w14:textId="77777777" w:rsidTr="001B5608">
        <w:tc>
          <w:tcPr>
            <w:tcW w:w="6232" w:type="dxa"/>
            <w:vAlign w:val="center"/>
          </w:tcPr>
          <w:p w14:paraId="684EC98D" w14:textId="1A64EAB7" w:rsidR="009B4A30" w:rsidRDefault="009B4A30" w:rsidP="009B4A30">
            <w:r>
              <w:t xml:space="preserve">Actividad 1.22: </w:t>
            </w:r>
            <w:r w:rsidRPr="008C3885">
              <w:t>Implementación de la Apertura de agendas - Fase 1: Publicación de agendas para consultas libre</w:t>
            </w:r>
            <w:r>
              <w:t>.</w:t>
            </w:r>
          </w:p>
        </w:tc>
        <w:tc>
          <w:tcPr>
            <w:tcW w:w="3162" w:type="dxa"/>
            <w:vAlign w:val="center"/>
          </w:tcPr>
          <w:p w14:paraId="319712CC" w14:textId="77777777" w:rsidR="009B4A30" w:rsidRDefault="009B4A30" w:rsidP="009B4A30">
            <w:pPr>
              <w:jc w:val="center"/>
            </w:pPr>
            <w:r>
              <w:t>OAP – Equipo MIPG</w:t>
            </w:r>
          </w:p>
        </w:tc>
      </w:tr>
      <w:tr w:rsidR="009B4A30" w14:paraId="60B41E02" w14:textId="77777777" w:rsidTr="001B5608">
        <w:tc>
          <w:tcPr>
            <w:tcW w:w="6232" w:type="dxa"/>
            <w:vAlign w:val="center"/>
          </w:tcPr>
          <w:p w14:paraId="4D22D21A" w14:textId="3EF1D371" w:rsidR="009B4A30" w:rsidRDefault="009B4A30" w:rsidP="009B4A30">
            <w:r>
              <w:lastRenderedPageBreak/>
              <w:t xml:space="preserve">Actividad 1.23: </w:t>
            </w:r>
            <w:r w:rsidRPr="008C3885">
              <w:t>Implementación de la Apertura de agendas -Fase 2: Control de agendas de los registros de ingreso</w:t>
            </w:r>
            <w:r>
              <w:t>.</w:t>
            </w:r>
          </w:p>
        </w:tc>
        <w:tc>
          <w:tcPr>
            <w:tcW w:w="3162" w:type="dxa"/>
            <w:vAlign w:val="center"/>
          </w:tcPr>
          <w:p w14:paraId="4BE30E9B" w14:textId="77777777" w:rsidR="009B4A30" w:rsidRDefault="009B4A30" w:rsidP="009B4A30">
            <w:pPr>
              <w:jc w:val="center"/>
            </w:pPr>
            <w:r>
              <w:t>OAP – Equipo MIPG - STAF</w:t>
            </w:r>
          </w:p>
        </w:tc>
      </w:tr>
    </w:tbl>
    <w:p w14:paraId="78F01A6D" w14:textId="5E4969D2" w:rsidR="001B5608" w:rsidRDefault="001B5608" w:rsidP="00DF2A6D"/>
    <w:p w14:paraId="416D79FA" w14:textId="77777777" w:rsidR="003E2368" w:rsidRDefault="003E2368" w:rsidP="00DF2A6D"/>
    <w:p w14:paraId="2E32B06C" w14:textId="77777777" w:rsidR="00822F77" w:rsidRDefault="00822F77" w:rsidP="00822F77">
      <w:pPr>
        <w:pStyle w:val="Ttulo1"/>
        <w:numPr>
          <w:ilvl w:val="0"/>
          <w:numId w:val="1"/>
        </w:numPr>
        <w:ind w:left="284" w:hanging="284"/>
      </w:pPr>
      <w:r>
        <w:t>CONCLUSIONES</w:t>
      </w:r>
    </w:p>
    <w:p w14:paraId="69A6FD91" w14:textId="77777777" w:rsidR="00822F77" w:rsidRDefault="00822F77" w:rsidP="00822F77"/>
    <w:p w14:paraId="465A97D1" w14:textId="77777777" w:rsidR="00822F77" w:rsidRDefault="00822F77" w:rsidP="00822F77">
      <w:pPr>
        <w:pStyle w:val="Prrafodelista"/>
        <w:numPr>
          <w:ilvl w:val="0"/>
          <w:numId w:val="2"/>
        </w:numPr>
      </w:pPr>
      <w:r>
        <w:t>Aunque el porcentaje de avance general del PAAC (55%) se encuentra por encima de lo esperado para este segundo cuatrimestre, es necesario que se implementen alertas a las áreas que tienen actividades vencidas con corte 31 de agosto, y actividades que cuentan con un porcentaje menos al 50%.</w:t>
      </w:r>
    </w:p>
    <w:p w14:paraId="1C7EF53C" w14:textId="77777777" w:rsidR="00822F77" w:rsidRDefault="00822F77" w:rsidP="00822F77">
      <w:pPr>
        <w:pStyle w:val="Prrafodelista"/>
        <w:numPr>
          <w:ilvl w:val="0"/>
          <w:numId w:val="2"/>
        </w:numPr>
      </w:pPr>
      <w:r>
        <w:t>Se solicita al comité eliminar las actividades mencionadas en el numeral 4 “Observaciones”, ya que esto retrasa el cumplimiento y avance del PAAC.</w:t>
      </w:r>
    </w:p>
    <w:p w14:paraId="4D92BD23" w14:textId="77777777" w:rsidR="00822F77" w:rsidRDefault="00822F77" w:rsidP="003314A9"/>
    <w:tbl>
      <w:tblPr>
        <w:tblStyle w:val="Tablaconcuadrcula"/>
        <w:tblW w:w="0" w:type="auto"/>
        <w:tblInd w:w="360" w:type="dxa"/>
        <w:tblLook w:val="04A0" w:firstRow="1" w:lastRow="0" w:firstColumn="1" w:lastColumn="0" w:noHBand="0" w:noVBand="1"/>
      </w:tblPr>
      <w:tblGrid>
        <w:gridCol w:w="1720"/>
        <w:gridCol w:w="1961"/>
        <w:gridCol w:w="1726"/>
        <w:gridCol w:w="1875"/>
        <w:gridCol w:w="1752"/>
      </w:tblGrid>
      <w:tr w:rsidR="00822F77" w14:paraId="0D1E277B" w14:textId="77777777" w:rsidTr="00D61839">
        <w:tc>
          <w:tcPr>
            <w:tcW w:w="1620" w:type="dxa"/>
            <w:shd w:val="clear" w:color="auto" w:fill="F4B083" w:themeFill="accent2" w:themeFillTint="99"/>
            <w:vAlign w:val="center"/>
          </w:tcPr>
          <w:p w14:paraId="116EC65A" w14:textId="77777777" w:rsidR="00822F77" w:rsidRPr="00D61839" w:rsidRDefault="00822F77" w:rsidP="00D61839">
            <w:pPr>
              <w:jc w:val="center"/>
              <w:rPr>
                <w:b/>
              </w:rPr>
            </w:pPr>
          </w:p>
        </w:tc>
        <w:tc>
          <w:tcPr>
            <w:tcW w:w="2016" w:type="dxa"/>
            <w:shd w:val="clear" w:color="auto" w:fill="F4B083" w:themeFill="accent2" w:themeFillTint="99"/>
            <w:vAlign w:val="center"/>
          </w:tcPr>
          <w:p w14:paraId="61BC2DFB" w14:textId="77777777" w:rsidR="00822F77" w:rsidRPr="00D61839" w:rsidRDefault="00822F77" w:rsidP="00D61839">
            <w:pPr>
              <w:jc w:val="center"/>
              <w:rPr>
                <w:b/>
              </w:rPr>
            </w:pPr>
            <w:r w:rsidRPr="00D61839">
              <w:rPr>
                <w:b/>
              </w:rPr>
              <w:t>NOMBRE</w:t>
            </w:r>
          </w:p>
        </w:tc>
        <w:tc>
          <w:tcPr>
            <w:tcW w:w="1766" w:type="dxa"/>
            <w:shd w:val="clear" w:color="auto" w:fill="F4B083" w:themeFill="accent2" w:themeFillTint="99"/>
            <w:vAlign w:val="center"/>
          </w:tcPr>
          <w:p w14:paraId="0B3CD45F" w14:textId="77777777" w:rsidR="00822F77" w:rsidRPr="00D61839" w:rsidRDefault="00822F77" w:rsidP="00D61839">
            <w:pPr>
              <w:jc w:val="center"/>
              <w:rPr>
                <w:b/>
              </w:rPr>
            </w:pPr>
            <w:r w:rsidRPr="00D61839">
              <w:rPr>
                <w:b/>
              </w:rPr>
              <w:t>CARGO</w:t>
            </w:r>
          </w:p>
        </w:tc>
        <w:tc>
          <w:tcPr>
            <w:tcW w:w="1876" w:type="dxa"/>
            <w:shd w:val="clear" w:color="auto" w:fill="F4B083" w:themeFill="accent2" w:themeFillTint="99"/>
            <w:vAlign w:val="center"/>
          </w:tcPr>
          <w:p w14:paraId="37AC005A" w14:textId="77777777" w:rsidR="00822F77" w:rsidRPr="00D61839" w:rsidRDefault="00822F77" w:rsidP="00D61839">
            <w:pPr>
              <w:jc w:val="center"/>
              <w:rPr>
                <w:b/>
              </w:rPr>
            </w:pPr>
            <w:r w:rsidRPr="00D61839">
              <w:rPr>
                <w:b/>
              </w:rPr>
              <w:t>FECHA</w:t>
            </w:r>
            <w:r w:rsidRPr="00D61839">
              <w:rPr>
                <w:b/>
              </w:rPr>
              <w:br/>
              <w:t>(DD/MM/AAAA)</w:t>
            </w:r>
          </w:p>
        </w:tc>
        <w:tc>
          <w:tcPr>
            <w:tcW w:w="1756" w:type="dxa"/>
            <w:shd w:val="clear" w:color="auto" w:fill="F4B083" w:themeFill="accent2" w:themeFillTint="99"/>
            <w:vAlign w:val="center"/>
          </w:tcPr>
          <w:p w14:paraId="5C964D3E" w14:textId="77777777" w:rsidR="00822F77" w:rsidRPr="00D61839" w:rsidRDefault="00822F77" w:rsidP="00D61839">
            <w:pPr>
              <w:jc w:val="center"/>
              <w:rPr>
                <w:b/>
              </w:rPr>
            </w:pPr>
            <w:r w:rsidRPr="00D61839">
              <w:rPr>
                <w:b/>
              </w:rPr>
              <w:t>FIRMA</w:t>
            </w:r>
          </w:p>
        </w:tc>
      </w:tr>
      <w:tr w:rsidR="00822F77" w14:paraId="30E78AEC" w14:textId="77777777" w:rsidTr="00D61839">
        <w:tc>
          <w:tcPr>
            <w:tcW w:w="1620" w:type="dxa"/>
            <w:vAlign w:val="center"/>
          </w:tcPr>
          <w:p w14:paraId="58DD58FF" w14:textId="77777777" w:rsidR="00822F77" w:rsidRPr="009E3FB7" w:rsidRDefault="00822F77" w:rsidP="00D61839">
            <w:pPr>
              <w:jc w:val="center"/>
              <w:rPr>
                <w:b/>
                <w:bCs/>
              </w:rPr>
            </w:pPr>
            <w:r w:rsidRPr="009E3FB7">
              <w:rPr>
                <w:b/>
                <w:bCs/>
              </w:rPr>
              <w:t>ELABORÓ</w:t>
            </w:r>
          </w:p>
        </w:tc>
        <w:tc>
          <w:tcPr>
            <w:tcW w:w="2016" w:type="dxa"/>
            <w:vAlign w:val="center"/>
          </w:tcPr>
          <w:p w14:paraId="3EAC1B22" w14:textId="687D13EE" w:rsidR="00822F77" w:rsidRDefault="00D61839" w:rsidP="009E3FB7">
            <w:pPr>
              <w:jc w:val="center"/>
            </w:pPr>
            <w:r>
              <w:t xml:space="preserve">Catalina Cárdenas </w:t>
            </w:r>
            <w:r w:rsidR="003E2368">
              <w:t>Martínez</w:t>
            </w:r>
          </w:p>
        </w:tc>
        <w:tc>
          <w:tcPr>
            <w:tcW w:w="1766" w:type="dxa"/>
            <w:vAlign w:val="center"/>
          </w:tcPr>
          <w:p w14:paraId="6B99C1CA" w14:textId="77777777" w:rsidR="00822F77" w:rsidRDefault="00D61839" w:rsidP="009E3FB7">
            <w:pPr>
              <w:jc w:val="center"/>
            </w:pPr>
            <w:r>
              <w:t>Contratista OAP</w:t>
            </w:r>
          </w:p>
        </w:tc>
        <w:tc>
          <w:tcPr>
            <w:tcW w:w="1876" w:type="dxa"/>
            <w:vAlign w:val="center"/>
          </w:tcPr>
          <w:p w14:paraId="04AC4571" w14:textId="4BDA1970" w:rsidR="00822F77" w:rsidRDefault="003E2368" w:rsidP="009E3FB7">
            <w:pPr>
              <w:jc w:val="center"/>
            </w:pPr>
            <w:r>
              <w:t>17/09/2021</w:t>
            </w:r>
          </w:p>
        </w:tc>
        <w:tc>
          <w:tcPr>
            <w:tcW w:w="1756" w:type="dxa"/>
            <w:vAlign w:val="center"/>
          </w:tcPr>
          <w:p w14:paraId="5FF0B89F" w14:textId="21EEA318" w:rsidR="00822F77" w:rsidRDefault="009E3FB7" w:rsidP="00D61839">
            <w:pPr>
              <w:jc w:val="left"/>
            </w:pPr>
            <w:r w:rsidRPr="009E3FB7">
              <w:rPr>
                <w:noProof/>
              </w:rPr>
              <w:drawing>
                <wp:inline distT="0" distB="0" distL="0" distR="0" wp14:anchorId="4FC82362" wp14:editId="1CB846D0">
                  <wp:extent cx="939071" cy="1968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3429" cy="199860"/>
                          </a:xfrm>
                          <a:prstGeom prst="rect">
                            <a:avLst/>
                          </a:prstGeom>
                          <a:noFill/>
                          <a:ln>
                            <a:noFill/>
                          </a:ln>
                        </pic:spPr>
                      </pic:pic>
                    </a:graphicData>
                  </a:graphic>
                </wp:inline>
              </w:drawing>
            </w:r>
          </w:p>
        </w:tc>
      </w:tr>
      <w:tr w:rsidR="00822F77" w14:paraId="4108C916" w14:textId="77777777" w:rsidTr="00D61839">
        <w:tc>
          <w:tcPr>
            <w:tcW w:w="1620" w:type="dxa"/>
            <w:vAlign w:val="center"/>
          </w:tcPr>
          <w:p w14:paraId="3DC94D6F" w14:textId="77777777" w:rsidR="00822F77" w:rsidRPr="009E3FB7" w:rsidRDefault="00822F77" w:rsidP="00D61839">
            <w:pPr>
              <w:jc w:val="center"/>
              <w:rPr>
                <w:b/>
                <w:bCs/>
              </w:rPr>
            </w:pPr>
            <w:r w:rsidRPr="009E3FB7">
              <w:rPr>
                <w:b/>
                <w:bCs/>
              </w:rPr>
              <w:t>REVISÓ</w:t>
            </w:r>
          </w:p>
        </w:tc>
        <w:tc>
          <w:tcPr>
            <w:tcW w:w="2016" w:type="dxa"/>
            <w:vAlign w:val="center"/>
          </w:tcPr>
          <w:p w14:paraId="6EAC8306" w14:textId="5469ADAB" w:rsidR="00822F77" w:rsidRDefault="003E2368" w:rsidP="009E3FB7">
            <w:pPr>
              <w:jc w:val="center"/>
            </w:pPr>
            <w:r>
              <w:t>Willington Granados Herrera</w:t>
            </w:r>
          </w:p>
        </w:tc>
        <w:tc>
          <w:tcPr>
            <w:tcW w:w="1766" w:type="dxa"/>
            <w:vAlign w:val="center"/>
          </w:tcPr>
          <w:p w14:paraId="6B2B6601" w14:textId="12940BB2" w:rsidR="00822F77" w:rsidRDefault="003E2368" w:rsidP="009E3FB7">
            <w:pPr>
              <w:jc w:val="center"/>
            </w:pPr>
            <w:r>
              <w:t>Contratista OAP</w:t>
            </w:r>
          </w:p>
        </w:tc>
        <w:tc>
          <w:tcPr>
            <w:tcW w:w="1876" w:type="dxa"/>
            <w:vAlign w:val="center"/>
          </w:tcPr>
          <w:p w14:paraId="7AF512B2" w14:textId="18940FF8" w:rsidR="00822F77" w:rsidRDefault="003E2368" w:rsidP="009E3FB7">
            <w:pPr>
              <w:jc w:val="center"/>
            </w:pPr>
            <w:r>
              <w:t>23/09/2021</w:t>
            </w:r>
          </w:p>
        </w:tc>
        <w:tc>
          <w:tcPr>
            <w:tcW w:w="1756" w:type="dxa"/>
            <w:vAlign w:val="center"/>
          </w:tcPr>
          <w:p w14:paraId="26DB2AE1" w14:textId="77777777" w:rsidR="00822F77" w:rsidRDefault="00822F77" w:rsidP="00D61839">
            <w:pPr>
              <w:jc w:val="left"/>
            </w:pPr>
          </w:p>
        </w:tc>
      </w:tr>
      <w:tr w:rsidR="00822F77" w14:paraId="3E22DC13" w14:textId="77777777" w:rsidTr="00D61839">
        <w:tc>
          <w:tcPr>
            <w:tcW w:w="1620" w:type="dxa"/>
            <w:vAlign w:val="center"/>
          </w:tcPr>
          <w:p w14:paraId="0917388C" w14:textId="77777777" w:rsidR="00822F77" w:rsidRPr="009E3FB7" w:rsidRDefault="00822F77" w:rsidP="00D61839">
            <w:pPr>
              <w:jc w:val="center"/>
              <w:rPr>
                <w:b/>
                <w:bCs/>
              </w:rPr>
            </w:pPr>
            <w:r w:rsidRPr="009E3FB7">
              <w:rPr>
                <w:b/>
                <w:bCs/>
              </w:rPr>
              <w:t>ARPOBACIÓN</w:t>
            </w:r>
          </w:p>
        </w:tc>
        <w:tc>
          <w:tcPr>
            <w:tcW w:w="2016" w:type="dxa"/>
            <w:vAlign w:val="center"/>
          </w:tcPr>
          <w:p w14:paraId="5AE10762" w14:textId="2BE69390" w:rsidR="00822F77" w:rsidRDefault="003E2368" w:rsidP="009E3FB7">
            <w:pPr>
              <w:jc w:val="center"/>
            </w:pPr>
            <w:r>
              <w:t>Fabian Andrés Correa Álvarez</w:t>
            </w:r>
          </w:p>
        </w:tc>
        <w:tc>
          <w:tcPr>
            <w:tcW w:w="1766" w:type="dxa"/>
            <w:vAlign w:val="center"/>
          </w:tcPr>
          <w:p w14:paraId="05E5211B" w14:textId="37C3A2A0" w:rsidR="00822F77" w:rsidRDefault="003E2368" w:rsidP="009E3FB7">
            <w:pPr>
              <w:jc w:val="center"/>
            </w:pPr>
            <w:r>
              <w:t>Jefe Oficina Asesora de Planeación</w:t>
            </w:r>
          </w:p>
        </w:tc>
        <w:tc>
          <w:tcPr>
            <w:tcW w:w="1876" w:type="dxa"/>
            <w:vAlign w:val="center"/>
          </w:tcPr>
          <w:p w14:paraId="4233CEDE" w14:textId="77777777" w:rsidR="00822F77" w:rsidRDefault="00822F77" w:rsidP="009E3FB7">
            <w:pPr>
              <w:jc w:val="center"/>
            </w:pPr>
          </w:p>
        </w:tc>
        <w:tc>
          <w:tcPr>
            <w:tcW w:w="1756" w:type="dxa"/>
            <w:vAlign w:val="center"/>
          </w:tcPr>
          <w:p w14:paraId="5893EE1E" w14:textId="77777777" w:rsidR="00822F77" w:rsidRDefault="00822F77" w:rsidP="00D61839">
            <w:pPr>
              <w:jc w:val="left"/>
            </w:pPr>
          </w:p>
        </w:tc>
      </w:tr>
    </w:tbl>
    <w:p w14:paraId="5A61A350" w14:textId="77777777" w:rsidR="00822F77" w:rsidRPr="00822F77" w:rsidRDefault="00822F77" w:rsidP="003314A9"/>
    <w:sectPr w:rsidR="00822F77" w:rsidRPr="00822F77" w:rsidSect="007E0D1F">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8849" w14:textId="77777777" w:rsidR="000041A1" w:rsidRDefault="000041A1" w:rsidP="000041A1">
      <w:pPr>
        <w:spacing w:after="0" w:line="240" w:lineRule="auto"/>
      </w:pPr>
      <w:r>
        <w:separator/>
      </w:r>
    </w:p>
  </w:endnote>
  <w:endnote w:type="continuationSeparator" w:id="0">
    <w:p w14:paraId="67CBD385" w14:textId="77777777" w:rsidR="000041A1" w:rsidRDefault="000041A1" w:rsidP="0000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5B1E" w14:textId="77777777" w:rsidR="000041A1" w:rsidRDefault="000041A1" w:rsidP="000041A1">
      <w:pPr>
        <w:spacing w:after="0" w:line="240" w:lineRule="auto"/>
      </w:pPr>
      <w:r>
        <w:separator/>
      </w:r>
    </w:p>
  </w:footnote>
  <w:footnote w:type="continuationSeparator" w:id="0">
    <w:p w14:paraId="3A49E669" w14:textId="77777777" w:rsidR="000041A1" w:rsidRDefault="000041A1" w:rsidP="00004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E4BAF"/>
    <w:multiLevelType w:val="hybridMultilevel"/>
    <w:tmpl w:val="79620964"/>
    <w:lvl w:ilvl="0" w:tplc="13FE477A">
      <w:start w:val="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64E0898"/>
    <w:multiLevelType w:val="multilevel"/>
    <w:tmpl w:val="38045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1F"/>
    <w:rsid w:val="000041A1"/>
    <w:rsid w:val="001060FA"/>
    <w:rsid w:val="001318DB"/>
    <w:rsid w:val="001409EA"/>
    <w:rsid w:val="001B5608"/>
    <w:rsid w:val="00251485"/>
    <w:rsid w:val="003314A9"/>
    <w:rsid w:val="00396166"/>
    <w:rsid w:val="003E2368"/>
    <w:rsid w:val="003F3EC7"/>
    <w:rsid w:val="005A7D03"/>
    <w:rsid w:val="00624870"/>
    <w:rsid w:val="006C1B42"/>
    <w:rsid w:val="007A2000"/>
    <w:rsid w:val="007B163C"/>
    <w:rsid w:val="007E0D1F"/>
    <w:rsid w:val="007F3658"/>
    <w:rsid w:val="00822F77"/>
    <w:rsid w:val="00890573"/>
    <w:rsid w:val="008C3885"/>
    <w:rsid w:val="00936E69"/>
    <w:rsid w:val="009B4A30"/>
    <w:rsid w:val="009E3FB7"/>
    <w:rsid w:val="009E712A"/>
    <w:rsid w:val="00A20175"/>
    <w:rsid w:val="00A467C6"/>
    <w:rsid w:val="00A77BFA"/>
    <w:rsid w:val="00AB1613"/>
    <w:rsid w:val="00B01319"/>
    <w:rsid w:val="00BF658E"/>
    <w:rsid w:val="00D61839"/>
    <w:rsid w:val="00D757B5"/>
    <w:rsid w:val="00D85C75"/>
    <w:rsid w:val="00DE5773"/>
    <w:rsid w:val="00DF2A6D"/>
    <w:rsid w:val="00E52D28"/>
    <w:rsid w:val="00FB79B0"/>
    <w:rsid w:val="00FC23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50C4"/>
  <w15:chartTrackingRefBased/>
  <w15:docId w15:val="{51ACAE68-F6E5-4C79-82AB-665E2B65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00"/>
    <w:pPr>
      <w:jc w:val="both"/>
    </w:pPr>
    <w:rPr>
      <w:rFonts w:ascii="Times New Roman" w:hAnsi="Times New Roman"/>
    </w:rPr>
  </w:style>
  <w:style w:type="paragraph" w:styleId="Ttulo1">
    <w:name w:val="heading 1"/>
    <w:basedOn w:val="Normal"/>
    <w:next w:val="Normal"/>
    <w:link w:val="Ttulo1Car"/>
    <w:uiPriority w:val="9"/>
    <w:qFormat/>
    <w:rsid w:val="007E0D1F"/>
    <w:pPr>
      <w:keepNext/>
      <w:keepLines/>
      <w:spacing w:before="240" w:after="0"/>
      <w:outlineLvl w:val="0"/>
    </w:pPr>
    <w:rPr>
      <w:rFonts w:eastAsiaTheme="majorEastAsia" w:cstheme="majorBidi"/>
      <w:color w:val="ED7D31" w:themeColor="accent2"/>
      <w:szCs w:val="32"/>
    </w:rPr>
  </w:style>
  <w:style w:type="paragraph" w:styleId="Ttulo2">
    <w:name w:val="heading 2"/>
    <w:basedOn w:val="Normal"/>
    <w:next w:val="Normal"/>
    <w:link w:val="Ttulo2Car"/>
    <w:uiPriority w:val="9"/>
    <w:unhideWhenUsed/>
    <w:qFormat/>
    <w:rsid w:val="00251485"/>
    <w:pPr>
      <w:keepNext/>
      <w:keepLines/>
      <w:spacing w:before="40" w:after="0"/>
      <w:jc w:val="left"/>
      <w:outlineLvl w:val="1"/>
    </w:pPr>
    <w:rPr>
      <w:rFonts w:eastAsiaTheme="majorEastAsia" w:cstheme="majorBidi"/>
      <w:color w:val="ED7D31" w:themeColor="accent2"/>
      <w:szCs w:val="26"/>
    </w:rPr>
  </w:style>
  <w:style w:type="paragraph" w:styleId="Ttulo3">
    <w:name w:val="heading 3"/>
    <w:basedOn w:val="Normal"/>
    <w:next w:val="Normal"/>
    <w:link w:val="Ttulo3Car"/>
    <w:uiPriority w:val="9"/>
    <w:unhideWhenUsed/>
    <w:qFormat/>
    <w:rsid w:val="00DF2A6D"/>
    <w:pPr>
      <w:keepNext/>
      <w:keepLines/>
      <w:spacing w:before="40" w:after="0"/>
      <w:jc w:val="left"/>
      <w:outlineLvl w:val="2"/>
    </w:pPr>
    <w:rPr>
      <w:rFonts w:eastAsiaTheme="majorEastAsia" w:cstheme="majorBidi"/>
      <w:color w:val="ED7D31" w:themeColor="accent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0D1F"/>
    <w:rPr>
      <w:rFonts w:ascii="Times New Roman" w:eastAsiaTheme="majorEastAsia" w:hAnsi="Times New Roman" w:cstheme="majorBidi"/>
      <w:color w:val="ED7D31" w:themeColor="accent2"/>
      <w:szCs w:val="32"/>
    </w:rPr>
  </w:style>
  <w:style w:type="paragraph" w:customStyle="1" w:styleId="Default">
    <w:name w:val="Default"/>
    <w:rsid w:val="006C1B42"/>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FC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51485"/>
    <w:rPr>
      <w:rFonts w:ascii="Times New Roman" w:eastAsiaTheme="majorEastAsia" w:hAnsi="Times New Roman" w:cstheme="majorBidi"/>
      <w:color w:val="ED7D31" w:themeColor="accent2"/>
      <w:szCs w:val="26"/>
    </w:rPr>
  </w:style>
  <w:style w:type="character" w:customStyle="1" w:styleId="Ttulo3Car">
    <w:name w:val="Título 3 Car"/>
    <w:basedOn w:val="Fuentedeprrafopredeter"/>
    <w:link w:val="Ttulo3"/>
    <w:uiPriority w:val="9"/>
    <w:rsid w:val="00DF2A6D"/>
    <w:rPr>
      <w:rFonts w:ascii="Times New Roman" w:eastAsiaTheme="majorEastAsia" w:hAnsi="Times New Roman" w:cstheme="majorBidi"/>
      <w:color w:val="ED7D31" w:themeColor="accent2"/>
      <w:szCs w:val="24"/>
    </w:rPr>
  </w:style>
  <w:style w:type="paragraph" w:styleId="Encabezado">
    <w:name w:val="header"/>
    <w:basedOn w:val="Normal"/>
    <w:link w:val="EncabezadoCar"/>
    <w:uiPriority w:val="99"/>
    <w:unhideWhenUsed/>
    <w:rsid w:val="000041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1A1"/>
    <w:rPr>
      <w:rFonts w:ascii="Times New Roman" w:hAnsi="Times New Roman"/>
    </w:rPr>
  </w:style>
  <w:style w:type="paragraph" w:styleId="Piedepgina">
    <w:name w:val="footer"/>
    <w:basedOn w:val="Normal"/>
    <w:link w:val="PiedepginaCar"/>
    <w:uiPriority w:val="99"/>
    <w:unhideWhenUsed/>
    <w:rsid w:val="000041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1A1"/>
    <w:rPr>
      <w:rFonts w:ascii="Times New Roman" w:hAnsi="Times New Roman"/>
    </w:rPr>
  </w:style>
  <w:style w:type="paragraph" w:styleId="Prrafodelista">
    <w:name w:val="List Paragraph"/>
    <w:basedOn w:val="Normal"/>
    <w:uiPriority w:val="34"/>
    <w:qFormat/>
    <w:rsid w:val="00822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3" Type="http://schemas.openxmlformats.org/officeDocument/2006/relationships/oleObject" Target="file:///E:\IDIPRON\Transparencia\2021\SEGUNDO%20SEGUIMIENTO%20PAAC%202021\DATOS%20SEGUNDO%20SEG%20PAA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1-3388-4E7E-8C69-0A90ACB506F9}"/>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3388-4E7E-8C69-0A90ACB506F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Hoja1!$H$27:$H$28</c:f>
              <c:strCache>
                <c:ptCount val="2"/>
                <c:pt idx="0">
                  <c:v>AVANCE REAL</c:v>
                </c:pt>
                <c:pt idx="1">
                  <c:v>AVANCE ESPERADO</c:v>
                </c:pt>
              </c:strCache>
            </c:strRef>
          </c:cat>
          <c:val>
            <c:numRef>
              <c:f>Hoja1!$I$27:$I$28</c:f>
              <c:numCache>
                <c:formatCode>0%</c:formatCode>
                <c:ptCount val="2"/>
                <c:pt idx="0">
                  <c:v>0.55000000000000004</c:v>
                </c:pt>
                <c:pt idx="1">
                  <c:v>0.45</c:v>
                </c:pt>
              </c:numCache>
            </c:numRef>
          </c:val>
          <c:extLst>
            <c:ext xmlns:c16="http://schemas.microsoft.com/office/drawing/2014/chart" uri="{C3380CC4-5D6E-409C-BE32-E72D297353CC}">
              <c16:uniqueId val="{00000004-3388-4E7E-8C69-0A90ACB506F9}"/>
            </c:ext>
          </c:extLst>
        </c:ser>
        <c:dLbls>
          <c:showLegendKey val="0"/>
          <c:showVal val="1"/>
          <c:showCatName val="0"/>
          <c:showSerName val="0"/>
          <c:showPercent val="0"/>
          <c:showBubbleSize val="0"/>
        </c:dLbls>
        <c:gapWidth val="150"/>
        <c:overlap val="-25"/>
        <c:axId val="1723922799"/>
        <c:axId val="1723918639"/>
      </c:barChart>
      <c:catAx>
        <c:axId val="17239227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23918639"/>
        <c:crosses val="autoZero"/>
        <c:auto val="1"/>
        <c:lblAlgn val="ctr"/>
        <c:lblOffset val="100"/>
        <c:noMultiLvlLbl val="0"/>
      </c:catAx>
      <c:valAx>
        <c:axId val="1723918639"/>
        <c:scaling>
          <c:orientation val="minMax"/>
        </c:scaling>
        <c:delete val="1"/>
        <c:axPos val="b"/>
        <c:numFmt formatCode="0%" sourceLinked="1"/>
        <c:majorTickMark val="none"/>
        <c:minorTickMark val="none"/>
        <c:tickLblPos val="nextTo"/>
        <c:crossAx val="17239227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9474D-09F9-4F05-8B3A-D8486E98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1712</Words>
  <Characters>9418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Cárdenas Martinez</dc:creator>
  <cp:keywords/>
  <dc:description/>
  <cp:lastModifiedBy>Nicolle Catalina Cardenas Martinez</cp:lastModifiedBy>
  <cp:revision>6</cp:revision>
  <dcterms:created xsi:type="dcterms:W3CDTF">2021-10-05T21:50:00Z</dcterms:created>
  <dcterms:modified xsi:type="dcterms:W3CDTF">2021-12-09T21:13:00Z</dcterms:modified>
</cp:coreProperties>
</file>